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0A94" w14:textId="77777777" w:rsidR="001B4910" w:rsidRPr="001B4910" w:rsidRDefault="001B4910" w:rsidP="001B4910">
      <w:pPr>
        <w:pStyle w:val="NormalWeb"/>
        <w:spacing w:before="0" w:beforeAutospacing="0" w:after="160" w:afterAutospacing="0" w:line="360" w:lineRule="auto"/>
        <w:rPr>
          <w:rFonts w:ascii="Arial" w:hAnsi="Arial" w:cs="Arial"/>
        </w:rPr>
      </w:pPr>
      <w:r w:rsidRPr="001B4910">
        <w:rPr>
          <w:rFonts w:ascii="Arial" w:hAnsi="Arial" w:cs="Arial"/>
          <w:color w:val="000000"/>
          <w:sz w:val="22"/>
          <w:szCs w:val="22"/>
        </w:rPr>
        <w:t>Comparison of fishery and survey length distributions of Alaskan Pacific cod (</w:t>
      </w:r>
      <w:r w:rsidRPr="001B4910">
        <w:rPr>
          <w:rFonts w:ascii="Arial" w:hAnsi="Arial" w:cs="Arial"/>
          <w:i/>
          <w:iCs/>
          <w:color w:val="000000"/>
          <w:sz w:val="22"/>
          <w:szCs w:val="22"/>
        </w:rPr>
        <w:t>Gadus macrocephalus</w:t>
      </w:r>
      <w:r w:rsidRPr="001B4910">
        <w:rPr>
          <w:rFonts w:ascii="Arial" w:hAnsi="Arial" w:cs="Arial"/>
          <w:color w:val="000000"/>
          <w:sz w:val="22"/>
          <w:szCs w:val="22"/>
        </w:rPr>
        <w:t>): is there a mismatch?</w:t>
      </w:r>
    </w:p>
    <w:p w14:paraId="071BA650" w14:textId="77777777" w:rsidR="001B4910" w:rsidRPr="001B4910" w:rsidRDefault="001B4910" w:rsidP="001B4910">
      <w:pPr>
        <w:pStyle w:val="NormalWeb"/>
        <w:spacing w:before="0" w:beforeAutospacing="0" w:after="160" w:afterAutospacing="0" w:line="360" w:lineRule="auto"/>
        <w:rPr>
          <w:rFonts w:ascii="Arial" w:hAnsi="Arial" w:cs="Arial"/>
        </w:rPr>
      </w:pPr>
      <w:r w:rsidRPr="001B4910">
        <w:rPr>
          <w:rFonts w:ascii="Arial" w:hAnsi="Arial" w:cs="Arial"/>
          <w:color w:val="000000"/>
          <w:sz w:val="22"/>
          <w:szCs w:val="22"/>
        </w:rPr>
        <w:t>Kimberly M. Rand, Susanne F. McDermott, David. R Bryan, Julie K. Nielsen, Ingrid B. Spies, Steve Barbeaux, and Grant Thompson</w:t>
      </w:r>
    </w:p>
    <w:p w14:paraId="4AC7F6AC" w14:textId="77777777" w:rsidR="001B4910" w:rsidRPr="001B4910" w:rsidRDefault="001B4910" w:rsidP="001B4910">
      <w:pPr>
        <w:pStyle w:val="NormalWeb"/>
        <w:spacing w:before="0" w:beforeAutospacing="0" w:after="160" w:afterAutospacing="0" w:line="360" w:lineRule="auto"/>
        <w:rPr>
          <w:rFonts w:ascii="Arial" w:hAnsi="Arial" w:cs="Arial"/>
        </w:rPr>
      </w:pPr>
      <w:r w:rsidRPr="001B4910">
        <w:rPr>
          <w:rFonts w:ascii="Arial" w:hAnsi="Arial" w:cs="Arial"/>
          <w:color w:val="000000"/>
          <w:sz w:val="22"/>
          <w:szCs w:val="22"/>
        </w:rPr>
        <w:t>Target Journal: Fisheries Research </w:t>
      </w:r>
    </w:p>
    <w:p w14:paraId="74621F01" w14:textId="77777777" w:rsidR="001B4910" w:rsidRPr="001B4910" w:rsidRDefault="001B4910" w:rsidP="001B4910">
      <w:pPr>
        <w:pStyle w:val="Heading1"/>
        <w:spacing w:line="360" w:lineRule="auto"/>
        <w:rPr>
          <w:rFonts w:ascii="Arial" w:hAnsi="Arial" w:cs="Arial"/>
        </w:rPr>
      </w:pPr>
      <w:r w:rsidRPr="001B4910">
        <w:rPr>
          <w:rFonts w:ascii="Arial" w:hAnsi="Arial" w:cs="Arial"/>
          <w:color w:val="000000"/>
          <w:szCs w:val="22"/>
        </w:rPr>
        <w:t>Abstract</w:t>
      </w:r>
    </w:p>
    <w:p w14:paraId="514A81BC" w14:textId="429226CA" w:rsidR="001B4910" w:rsidRDefault="001B4910" w:rsidP="00C80320">
      <w:pPr>
        <w:pStyle w:val="NormalWeb"/>
        <w:spacing w:before="0" w:beforeAutospacing="0" w:after="160" w:afterAutospacing="0" w:line="360" w:lineRule="auto"/>
        <w:rPr>
          <w:rFonts w:ascii="Arial" w:hAnsi="Arial" w:cs="Arial"/>
          <w:sz w:val="22"/>
        </w:rPr>
      </w:pPr>
      <w:r w:rsidRPr="001B4910">
        <w:rPr>
          <w:rFonts w:ascii="Arial" w:hAnsi="Arial" w:cs="Arial"/>
          <w:color w:val="000000"/>
          <w:sz w:val="22"/>
          <w:szCs w:val="22"/>
        </w:rPr>
        <w:t>Scientific s</w:t>
      </w:r>
      <w:r w:rsidR="00E34E3B">
        <w:rPr>
          <w:rFonts w:ascii="Arial" w:hAnsi="Arial" w:cs="Arial"/>
          <w:color w:val="000000"/>
          <w:sz w:val="22"/>
          <w:szCs w:val="22"/>
        </w:rPr>
        <w:t>urveys provide the foundation for</w:t>
      </w:r>
      <w:r w:rsidRPr="001B4910">
        <w:rPr>
          <w:rFonts w:ascii="Arial" w:hAnsi="Arial" w:cs="Arial"/>
          <w:color w:val="000000"/>
          <w:sz w:val="22"/>
          <w:szCs w:val="22"/>
        </w:rPr>
        <w:t xml:space="preserve"> sound, effective management of fishery resources. Both survey and fishery data are integral to observing fish population trends, however, bias in sampling gear and operating hours may confound shifts in species distributions that likely occur over time and space. </w:t>
      </w:r>
      <w:r w:rsidR="00AF64C1">
        <w:rPr>
          <w:rFonts w:ascii="Arial" w:hAnsi="Arial" w:cs="Arial"/>
          <w:color w:val="000000"/>
          <w:sz w:val="22"/>
          <w:szCs w:val="22"/>
        </w:rPr>
        <w:t xml:space="preserve">Pacific cod </w:t>
      </w:r>
      <w:r w:rsidR="00AF64C1" w:rsidRPr="00AF64C1">
        <w:rPr>
          <w:rFonts w:ascii="Arial" w:hAnsi="Arial" w:cs="Arial"/>
          <w:i/>
          <w:color w:val="000000"/>
          <w:sz w:val="22"/>
          <w:szCs w:val="22"/>
        </w:rPr>
        <w:t>Gadus macrocephalus</w:t>
      </w:r>
      <w:r w:rsidR="00AF64C1">
        <w:rPr>
          <w:rFonts w:ascii="Arial" w:hAnsi="Arial" w:cs="Arial"/>
          <w:color w:val="000000"/>
          <w:sz w:val="22"/>
          <w:szCs w:val="22"/>
        </w:rPr>
        <w:t xml:space="preserve"> is a large-bodied gadid with a range that extends across the entire North Pacific Ocean. Pacific cod supports a large commercial fishery where multiple gear types are used to annually harvest fish in the Aleutian Islands, and Eastern Bering Sea, the </w:t>
      </w:r>
      <w:r w:rsidR="00C80320">
        <w:rPr>
          <w:rFonts w:ascii="Arial" w:hAnsi="Arial" w:cs="Arial"/>
          <w:color w:val="000000"/>
          <w:sz w:val="22"/>
          <w:szCs w:val="22"/>
        </w:rPr>
        <w:t xml:space="preserve">focus areas for </w:t>
      </w:r>
      <w:r w:rsidR="00AF64C1">
        <w:rPr>
          <w:rFonts w:ascii="Arial" w:hAnsi="Arial" w:cs="Arial"/>
          <w:color w:val="000000"/>
          <w:sz w:val="22"/>
          <w:szCs w:val="22"/>
        </w:rPr>
        <w:t xml:space="preserve">this study. </w:t>
      </w:r>
      <w:r w:rsidR="00C80320">
        <w:rPr>
          <w:rFonts w:ascii="Arial" w:hAnsi="Arial" w:cs="Arial"/>
          <w:color w:val="000000"/>
          <w:sz w:val="22"/>
          <w:szCs w:val="22"/>
        </w:rPr>
        <w:t>Pacific cod undergo seasonal migrations during the winte</w:t>
      </w:r>
      <w:r w:rsidR="00E34E3B">
        <w:rPr>
          <w:rFonts w:ascii="Arial" w:hAnsi="Arial" w:cs="Arial"/>
          <w:color w:val="000000"/>
          <w:sz w:val="22"/>
          <w:szCs w:val="22"/>
        </w:rPr>
        <w:t>r months (January – April) when</w:t>
      </w:r>
      <w:r w:rsidR="00C80320">
        <w:rPr>
          <w:rFonts w:ascii="Arial" w:hAnsi="Arial" w:cs="Arial"/>
          <w:color w:val="000000"/>
          <w:sz w:val="22"/>
          <w:szCs w:val="22"/>
        </w:rPr>
        <w:t xml:space="preserve"> adult cod form large, dense aggregations in specific areas throughout the Eastern Bering Sea and Aleutian Islands. In the summer months Pacific cod are widely distributed across their range, presumably to feed. These seasonal shifts can complicate management models when incorpo</w:t>
      </w:r>
      <w:r w:rsidR="00E34E3B">
        <w:rPr>
          <w:rFonts w:ascii="Arial" w:hAnsi="Arial" w:cs="Arial"/>
          <w:color w:val="000000"/>
          <w:sz w:val="22"/>
          <w:szCs w:val="22"/>
        </w:rPr>
        <w:t xml:space="preserve">rating fishery </w:t>
      </w:r>
      <w:r w:rsidR="00C80320">
        <w:rPr>
          <w:rFonts w:ascii="Arial" w:hAnsi="Arial" w:cs="Arial"/>
          <w:color w:val="000000"/>
          <w:sz w:val="22"/>
          <w:szCs w:val="22"/>
        </w:rPr>
        <w:t xml:space="preserve">and survey data types. </w:t>
      </w:r>
      <w:r w:rsidR="00AF64C1">
        <w:rPr>
          <w:rFonts w:ascii="Arial" w:hAnsi="Arial" w:cs="Arial"/>
          <w:color w:val="000000"/>
          <w:sz w:val="22"/>
          <w:szCs w:val="22"/>
        </w:rPr>
        <w:t xml:space="preserve">In this study we examined the overlap in time and space of Pacific cod length frequencies measured in the bottom-trawl fishery and the scientific survey, where a discrepancy </w:t>
      </w:r>
      <w:r w:rsidR="0002190C">
        <w:rPr>
          <w:rFonts w:ascii="Arial" w:hAnsi="Arial" w:cs="Arial"/>
          <w:color w:val="000000"/>
          <w:sz w:val="22"/>
          <w:szCs w:val="22"/>
        </w:rPr>
        <w:t>in Pacific cod size distributions have</w:t>
      </w:r>
      <w:r w:rsidR="00AF64C1">
        <w:rPr>
          <w:rFonts w:ascii="Arial" w:hAnsi="Arial" w:cs="Arial"/>
          <w:color w:val="000000"/>
          <w:sz w:val="22"/>
          <w:szCs w:val="22"/>
        </w:rPr>
        <w:t xml:space="preserve"> been consistently observed for many years. </w:t>
      </w:r>
      <w:r w:rsidR="0002190C">
        <w:rPr>
          <w:rFonts w:ascii="Arial" w:hAnsi="Arial" w:cs="Arial"/>
          <w:color w:val="000000"/>
          <w:sz w:val="22"/>
          <w:szCs w:val="22"/>
        </w:rPr>
        <w:t xml:space="preserve">When </w:t>
      </w:r>
      <w:r w:rsidR="00E34E3B">
        <w:rPr>
          <w:rFonts w:ascii="Arial" w:hAnsi="Arial" w:cs="Arial"/>
          <w:color w:val="000000"/>
          <w:sz w:val="22"/>
          <w:szCs w:val="22"/>
        </w:rPr>
        <w:t>standardizing</w:t>
      </w:r>
      <w:r w:rsidR="0002190C">
        <w:rPr>
          <w:rFonts w:ascii="Arial" w:hAnsi="Arial" w:cs="Arial"/>
          <w:color w:val="000000"/>
          <w:sz w:val="22"/>
          <w:szCs w:val="22"/>
        </w:rPr>
        <w:t xml:space="preserve"> observations </w:t>
      </w:r>
      <w:r w:rsidR="00E34E3B">
        <w:rPr>
          <w:rFonts w:ascii="Arial" w:hAnsi="Arial" w:cs="Arial"/>
          <w:color w:val="000000"/>
          <w:sz w:val="22"/>
          <w:szCs w:val="22"/>
        </w:rPr>
        <w:t xml:space="preserve">of adult, mature fish </w:t>
      </w:r>
      <w:r w:rsidR="0002190C">
        <w:rPr>
          <w:rFonts w:ascii="Arial" w:hAnsi="Arial" w:cs="Arial"/>
          <w:color w:val="000000"/>
          <w:sz w:val="22"/>
          <w:szCs w:val="22"/>
        </w:rPr>
        <w:t xml:space="preserve">in time and space, there was no observed difference in the size distribution of Pacific cod between the bottom-trawl fishery and the survey in the Eastern Bering Sea. However, the size discrepancy remained when examining Pacific cod in the bottom-trawl fishery and survey in the Aleutian Islands. </w:t>
      </w:r>
      <w:r w:rsidR="00C80320" w:rsidRPr="00C80320">
        <w:rPr>
          <w:rFonts w:ascii="Arial" w:hAnsi="Arial" w:cs="Arial"/>
          <w:sz w:val="22"/>
        </w:rPr>
        <w:t>Population-dynamic models can account for these differences in the survey and fishery selectivity, as long as models are informed by sufficient data.</w:t>
      </w:r>
      <w:r w:rsidR="00C80320">
        <w:rPr>
          <w:rFonts w:ascii="Arial" w:hAnsi="Arial" w:cs="Arial"/>
          <w:sz w:val="22"/>
        </w:rPr>
        <w:t xml:space="preserve"> </w:t>
      </w:r>
      <w:r w:rsidR="00C80320" w:rsidRPr="00C80320">
        <w:rPr>
          <w:rFonts w:ascii="Arial" w:hAnsi="Arial" w:cs="Arial"/>
          <w:sz w:val="22"/>
        </w:rPr>
        <w:t>Because the bottom-trawl fishery for Pacific cod primarily targets spawning aggregations in the winter months, care should be taken in management as they are considered among the most vulnerable fisheries</w:t>
      </w:r>
      <w:r w:rsidR="00C80320">
        <w:rPr>
          <w:rFonts w:ascii="Arial" w:hAnsi="Arial" w:cs="Arial"/>
          <w:sz w:val="22"/>
        </w:rPr>
        <w:t>.</w:t>
      </w:r>
    </w:p>
    <w:p w14:paraId="4C629A2A" w14:textId="77777777" w:rsidR="002B46E5" w:rsidRPr="001B4910" w:rsidRDefault="002B46E5" w:rsidP="002B46E5">
      <w:pPr>
        <w:pStyle w:val="Heading1"/>
        <w:spacing w:line="360" w:lineRule="auto"/>
        <w:rPr>
          <w:rFonts w:ascii="Arial" w:hAnsi="Arial" w:cs="Arial"/>
        </w:rPr>
      </w:pPr>
      <w:r w:rsidRPr="001B4910">
        <w:rPr>
          <w:rFonts w:ascii="Arial" w:hAnsi="Arial" w:cs="Arial"/>
          <w:color w:val="000000"/>
          <w:szCs w:val="22"/>
        </w:rPr>
        <w:t>Keywords</w:t>
      </w:r>
    </w:p>
    <w:p w14:paraId="7DC11346" w14:textId="77777777" w:rsidR="002B46E5" w:rsidRPr="001B4910" w:rsidRDefault="002B46E5" w:rsidP="002B46E5">
      <w:pPr>
        <w:pStyle w:val="NormalWeb"/>
        <w:spacing w:before="0" w:beforeAutospacing="0" w:after="160" w:afterAutospacing="0" w:line="360" w:lineRule="auto"/>
        <w:rPr>
          <w:rFonts w:ascii="Arial" w:hAnsi="Arial" w:cs="Arial"/>
        </w:rPr>
      </w:pPr>
      <w:r w:rsidRPr="001B4910">
        <w:rPr>
          <w:rFonts w:ascii="Arial" w:hAnsi="Arial" w:cs="Arial"/>
          <w:color w:val="000000"/>
          <w:sz w:val="22"/>
          <w:szCs w:val="22"/>
        </w:rPr>
        <w:t xml:space="preserve">Pacific cod, </w:t>
      </w:r>
      <w:r>
        <w:rPr>
          <w:rFonts w:ascii="Arial" w:hAnsi="Arial" w:cs="Arial"/>
          <w:color w:val="000000"/>
          <w:sz w:val="22"/>
          <w:szCs w:val="22"/>
        </w:rPr>
        <w:t>Gadus macrocephalus, fishery length distributions, survey length distributions</w:t>
      </w:r>
    </w:p>
    <w:p w14:paraId="2DFCF129" w14:textId="77777777" w:rsidR="002B46E5" w:rsidRPr="00C80320" w:rsidRDefault="002B46E5" w:rsidP="00C80320">
      <w:pPr>
        <w:pStyle w:val="NormalWeb"/>
        <w:spacing w:before="0" w:beforeAutospacing="0" w:after="160" w:afterAutospacing="0" w:line="360" w:lineRule="auto"/>
        <w:rPr>
          <w:rFonts w:ascii="Arial" w:hAnsi="Arial" w:cs="Arial"/>
          <w:sz w:val="22"/>
        </w:rPr>
      </w:pPr>
    </w:p>
    <w:p w14:paraId="5F5512BC" w14:textId="267A5572" w:rsidR="001B4910" w:rsidRPr="001B4910" w:rsidRDefault="001B4910" w:rsidP="001B4910">
      <w:pPr>
        <w:pStyle w:val="Heading1"/>
        <w:spacing w:line="360" w:lineRule="auto"/>
        <w:rPr>
          <w:rFonts w:ascii="Arial" w:hAnsi="Arial" w:cs="Arial"/>
        </w:rPr>
      </w:pPr>
      <w:r w:rsidRPr="001B4910">
        <w:rPr>
          <w:rFonts w:ascii="Arial" w:hAnsi="Arial" w:cs="Arial"/>
          <w:color w:val="000000"/>
          <w:szCs w:val="22"/>
        </w:rPr>
        <w:lastRenderedPageBreak/>
        <w:t>1.0 Introduction</w:t>
      </w:r>
    </w:p>
    <w:p w14:paraId="5DBCAF14" w14:textId="77777777"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Scientific surveys provide the foundation of effective management of commercial fish stocks (Kimura and Somerton, 2006; Walker et al., 2017). In the federal marine waters of Alaska, abundance and size structure of most groundfish species are measured primarily through National Marine Fisheries Service (NMFS) annual or biennial bottom-trawl surveys. These standardized surveys assume accurate sampling of multiple species distributions; however, the surveys primarily occur during summertime months (e.g., May, June, July, and August) and may or may not accurately capture seasonally shifting distributions of fish species. Several examples of shifting fish distributions include poleward shifts due to a warming climate, diel vertical migration to seek optimum conditions for feeding, digestion, and avoiding predation, and ontogenetic shifts in distribution as fish mature and biological needs change (Stevenson and Lauth, 2018; Barbeaux and Hollowed, 2018; Spies et al., 2019; Campana et al., 2020). </w:t>
      </w:r>
    </w:p>
    <w:p w14:paraId="2A958AFA" w14:textId="0AC446FF"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 xml:space="preserve">The Pacific cod </w:t>
      </w:r>
      <w:r w:rsidRPr="001B4910">
        <w:rPr>
          <w:rFonts w:ascii="Arial" w:hAnsi="Arial" w:cs="Arial"/>
          <w:i/>
          <w:iCs/>
          <w:color w:val="000000"/>
          <w:sz w:val="22"/>
          <w:szCs w:val="22"/>
        </w:rPr>
        <w:t>Gadus macrocephalus</w:t>
      </w:r>
      <w:r w:rsidRPr="001B4910">
        <w:rPr>
          <w:rFonts w:ascii="Arial" w:hAnsi="Arial" w:cs="Arial"/>
          <w:color w:val="000000"/>
          <w:sz w:val="22"/>
          <w:szCs w:val="22"/>
        </w:rPr>
        <w:t xml:space="preserve">, is an example of a fish species that undergoes </w:t>
      </w:r>
      <w:r w:rsidR="00AF64C1">
        <w:rPr>
          <w:rFonts w:ascii="Arial" w:hAnsi="Arial" w:cs="Arial"/>
          <w:color w:val="000000"/>
          <w:sz w:val="22"/>
          <w:szCs w:val="22"/>
        </w:rPr>
        <w:t xml:space="preserve">a </w:t>
      </w:r>
      <w:r w:rsidRPr="001B4910">
        <w:rPr>
          <w:rFonts w:ascii="Arial" w:hAnsi="Arial" w:cs="Arial"/>
          <w:color w:val="000000"/>
          <w:sz w:val="22"/>
          <w:szCs w:val="22"/>
        </w:rPr>
        <w:t>seasonal shifting distribution. It is a large marine gadid with a range that extends across the entire North Pacific (S</w:t>
      </w:r>
      <w:r w:rsidR="00E34E3B">
        <w:rPr>
          <w:rFonts w:ascii="Arial" w:hAnsi="Arial" w:cs="Arial"/>
          <w:color w:val="000000"/>
          <w:sz w:val="22"/>
          <w:szCs w:val="22"/>
        </w:rPr>
        <w:t>himada and Kimura, 1994). R</w:t>
      </w:r>
      <w:r w:rsidRPr="001B4910">
        <w:rPr>
          <w:rFonts w:ascii="Arial" w:hAnsi="Arial" w:cs="Arial"/>
          <w:color w:val="000000"/>
          <w:sz w:val="22"/>
          <w:szCs w:val="22"/>
        </w:rPr>
        <w:t>ecent studies have supported their migratory behavior, based on mark-recapture and satellite telemetry tagged Pacific cod, where changes in the both the spatial (e.g., northward) and temporal (e.g., seasonal) distribution patterns of Pacific cod in the Aleutian Islands and Eastern Bering Sea have been documented (Bryan et al., In Review; Rand et al., 2014). In winter (January - April), adult Pacific cod are known to form dense spawning aggregations at specific locations throughout their range (Neidetcher et al., 2014; Shimada and Kimura, 1994). Multiple genetics studies indicate that Pacific cod home to their natal spawning areas each winter (Drinan et al., 2018; Spies et al., 2019).  Shortly after spawning, Pacific cod disperse widely across the Eastern Bering Sea during the summer and fall months, presumably to feed (Shimada and Kimura, 1994; Rand et al., 2014). These shifts in the distribution of Pacific cod can complicate survey and fishery estimates of size compositions based on temporally mismatched samples. For example, NMFS bottom trawl surveys (hereafter termed “NMFS survey”) take place in the summer across the extent of the Eastern Bering Sea where Pacific cod are counted, weighed, and measured. The Pacific cod bottom-trawl fishery (hereafter termed "bottom-trawl fishery”) actively targets Pacific cod aggregations in the preceding winter months, mostly focused on small spatial areas near the shelf and shelf break and within the vicinity of Unimak Pass (Neidetcher et al., 2014). The concentration of the spawning aggregations likely makes winter the most efficient time for bottom-trawl fishers to harvest Pacific cod. For example, the Eastern Bering Sea bottom-trawl fishery’s highest catch-per-unit-effort of Pacific cod occurs during spawning season (Thompson et al., 2020). </w:t>
      </w:r>
    </w:p>
    <w:p w14:paraId="46016433" w14:textId="326EB9D1"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lastRenderedPageBreak/>
        <w:t xml:space="preserve">Survey and fishery disparities in time have created a persistent mismatch between the length distributions of Pacific cod from the (winter) bottom-trawl fishery </w:t>
      </w:r>
      <w:r w:rsidR="00E34E3B">
        <w:rPr>
          <w:rFonts w:ascii="Arial" w:hAnsi="Arial" w:cs="Arial"/>
          <w:color w:val="000000"/>
          <w:sz w:val="22"/>
          <w:szCs w:val="22"/>
        </w:rPr>
        <w:t xml:space="preserve">on aggregations of spawning adults, </w:t>
      </w:r>
      <w:r w:rsidRPr="001B4910">
        <w:rPr>
          <w:rFonts w:ascii="Arial" w:hAnsi="Arial" w:cs="Arial"/>
          <w:color w:val="000000"/>
          <w:sz w:val="22"/>
          <w:szCs w:val="22"/>
        </w:rPr>
        <w:t xml:space="preserve">and the (summer) NMFS surveys that </w:t>
      </w:r>
      <w:r w:rsidR="00E34E3B">
        <w:rPr>
          <w:rFonts w:ascii="Arial" w:hAnsi="Arial" w:cs="Arial"/>
          <w:color w:val="000000"/>
          <w:sz w:val="22"/>
          <w:szCs w:val="22"/>
        </w:rPr>
        <w:t xml:space="preserve">sample the entire feeding population </w:t>
      </w:r>
      <w:r w:rsidRPr="001B4910">
        <w:rPr>
          <w:rFonts w:ascii="Arial" w:hAnsi="Arial" w:cs="Arial"/>
          <w:color w:val="000000"/>
          <w:sz w:val="22"/>
          <w:szCs w:val="22"/>
        </w:rPr>
        <w:t>(Thompson, 2018; Spies et al., 2020). This disparity exists across gear types, including longline and pots that target Pacific cod. The NMFS survey, on average, records smaller Pacific cod than those observed in all fishery gear types that target Pacific cod. This has direct implications within the Pacific cod stock assessment models when evaluating selectivity parameters related to the NMFS survey and the fishery. Stock assessment models use survey data to provide reference points for setting fishery quotas. In the Eastern Bering Sea Pacific cod stock assessment model, fishery selectivity-at-length is modeled as asymptotic, where fish less than 40 cm are not captured by the fishery, and nearly full selectivity by 69 cm (mid-year) (Thompson et al., 2020). Alternatively, a dome-shaped selectivity pattern has been considered using the NMFS survey data which implies that larger Pacific cod are not entirely available to the NMFS survey gear, but this is somewhat controversial (Weinberg et al. 2016). </w:t>
      </w:r>
    </w:p>
    <w:p w14:paraId="3E6DC807" w14:textId="1BD7B626"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 xml:space="preserve">It is still unknown whether the NMFS survey and bottom-trawl fishery produce </w:t>
      </w:r>
      <w:r w:rsidR="00370C23">
        <w:rPr>
          <w:rFonts w:ascii="Arial" w:hAnsi="Arial" w:cs="Arial"/>
          <w:color w:val="000000"/>
          <w:sz w:val="22"/>
          <w:szCs w:val="22"/>
        </w:rPr>
        <w:t>re</w:t>
      </w:r>
      <w:r w:rsidRPr="001B4910">
        <w:rPr>
          <w:rFonts w:ascii="Arial" w:hAnsi="Arial" w:cs="Arial"/>
          <w:color w:val="000000"/>
          <w:sz w:val="22"/>
          <w:szCs w:val="22"/>
        </w:rPr>
        <w:t>presentative samples of Pacific cod lengths, or if they are instead capturing different segments of the population due to differences in gear or spatiotemporal availability. In this study, we address this question by examining the mismatch in length distributions between the Pacific cod bottom-trawl fishery and NMFS survey with respect to time and space. To con</w:t>
      </w:r>
      <w:r w:rsidR="00370C23">
        <w:rPr>
          <w:rFonts w:ascii="Arial" w:hAnsi="Arial" w:cs="Arial"/>
          <w:color w:val="000000"/>
          <w:sz w:val="22"/>
          <w:szCs w:val="22"/>
        </w:rPr>
        <w:t>trol for gear type, we focused </w:t>
      </w:r>
      <w:r w:rsidRPr="001B4910">
        <w:rPr>
          <w:rFonts w:ascii="Arial" w:hAnsi="Arial" w:cs="Arial"/>
          <w:color w:val="000000"/>
          <w:sz w:val="22"/>
          <w:szCs w:val="22"/>
        </w:rPr>
        <w:t xml:space="preserve">solely on the bottom-trawl fishery, because the effects of capturing fish using baited gear (e.g., longline and pots) </w:t>
      </w:r>
      <w:r w:rsidR="00370C23">
        <w:rPr>
          <w:rFonts w:ascii="Arial" w:hAnsi="Arial" w:cs="Arial"/>
          <w:color w:val="000000"/>
          <w:sz w:val="22"/>
          <w:szCs w:val="22"/>
        </w:rPr>
        <w:t xml:space="preserve">on the length distribution of the catch </w:t>
      </w:r>
      <w:r w:rsidRPr="001B4910">
        <w:rPr>
          <w:rFonts w:ascii="Arial" w:hAnsi="Arial" w:cs="Arial"/>
          <w:color w:val="000000"/>
          <w:sz w:val="22"/>
          <w:szCs w:val="22"/>
        </w:rPr>
        <w:t xml:space="preserve">is complex and unknown for Pacific cod (Stoner and Ottmar, 2004). We hypothesized </w:t>
      </w:r>
      <w:r w:rsidR="00370C23">
        <w:rPr>
          <w:rFonts w:ascii="Arial" w:hAnsi="Arial" w:cs="Arial"/>
          <w:color w:val="000000"/>
          <w:sz w:val="22"/>
          <w:szCs w:val="22"/>
        </w:rPr>
        <w:t xml:space="preserve">in this study </w:t>
      </w:r>
      <w:r w:rsidRPr="001B4910">
        <w:rPr>
          <w:rFonts w:ascii="Arial" w:hAnsi="Arial" w:cs="Arial"/>
          <w:color w:val="000000"/>
          <w:sz w:val="22"/>
          <w:szCs w:val="22"/>
        </w:rPr>
        <w:t xml:space="preserve">that the NMFS survey and bottom-trawl fishery length distribution mismatch for Pacific cod can be explained by a lack of spatial and temporal overlap between fish that are available to the NMFS survey in the summer and the bottom-trawl fishery which primarily occurs in the winter. To test this hypothesis, we used </w:t>
      </w:r>
      <w:r w:rsidR="00370C23">
        <w:rPr>
          <w:rFonts w:ascii="Arial" w:hAnsi="Arial" w:cs="Arial"/>
          <w:color w:val="000000"/>
          <w:sz w:val="22"/>
          <w:szCs w:val="22"/>
        </w:rPr>
        <w:t xml:space="preserve">length data from </w:t>
      </w:r>
      <w:r w:rsidRPr="001B4910">
        <w:rPr>
          <w:rFonts w:ascii="Arial" w:hAnsi="Arial" w:cs="Arial"/>
          <w:color w:val="000000"/>
          <w:sz w:val="22"/>
          <w:szCs w:val="22"/>
        </w:rPr>
        <w:t xml:space="preserve">the NMFS survey and bottom-trawl fishery </w:t>
      </w:r>
      <w:r w:rsidR="00370C23">
        <w:rPr>
          <w:rFonts w:ascii="Arial" w:hAnsi="Arial" w:cs="Arial"/>
          <w:color w:val="000000"/>
          <w:sz w:val="22"/>
          <w:szCs w:val="22"/>
        </w:rPr>
        <w:t xml:space="preserve">in which </w:t>
      </w:r>
      <w:r w:rsidRPr="001B4910">
        <w:rPr>
          <w:rFonts w:ascii="Arial" w:hAnsi="Arial" w:cs="Arial"/>
          <w:color w:val="000000"/>
          <w:sz w:val="22"/>
          <w:szCs w:val="22"/>
        </w:rPr>
        <w:t xml:space="preserve">Pacific cod </w:t>
      </w:r>
      <w:r w:rsidR="00370C23">
        <w:rPr>
          <w:rFonts w:ascii="Arial" w:hAnsi="Arial" w:cs="Arial"/>
          <w:color w:val="000000"/>
          <w:sz w:val="22"/>
          <w:szCs w:val="22"/>
        </w:rPr>
        <w:t xml:space="preserve">were measured from the </w:t>
      </w:r>
      <w:r w:rsidRPr="001B4910">
        <w:rPr>
          <w:rFonts w:ascii="Arial" w:hAnsi="Arial" w:cs="Arial"/>
          <w:color w:val="000000"/>
          <w:sz w:val="22"/>
          <w:szCs w:val="22"/>
        </w:rPr>
        <w:t xml:space="preserve">catch that spatiotemporally overlapped to determine if the Pacific cod length distribution mismatch persists. We hypothesized that if </w:t>
      </w:r>
      <w:r w:rsidR="00D0701E">
        <w:rPr>
          <w:rFonts w:ascii="Arial" w:hAnsi="Arial" w:cs="Arial"/>
          <w:color w:val="000000"/>
          <w:sz w:val="22"/>
          <w:szCs w:val="22"/>
        </w:rPr>
        <w:t xml:space="preserve">a mismatch in distributions remains when examining this overlap in time and space, then </w:t>
      </w:r>
      <w:r w:rsidRPr="001B4910">
        <w:rPr>
          <w:rFonts w:ascii="Arial" w:hAnsi="Arial" w:cs="Arial"/>
          <w:color w:val="000000"/>
          <w:sz w:val="22"/>
          <w:szCs w:val="22"/>
        </w:rPr>
        <w:t xml:space="preserve">large gear disparities between the NMFS survey and bottom-trawl fishery </w:t>
      </w:r>
      <w:r w:rsidR="00370C23">
        <w:rPr>
          <w:rFonts w:ascii="Arial" w:hAnsi="Arial" w:cs="Arial"/>
          <w:color w:val="000000"/>
          <w:sz w:val="22"/>
          <w:szCs w:val="22"/>
        </w:rPr>
        <w:t>might contribute to the length distribution mismatch</w:t>
      </w:r>
      <w:r w:rsidRPr="001B4910">
        <w:rPr>
          <w:rFonts w:ascii="Arial" w:hAnsi="Arial" w:cs="Arial"/>
          <w:color w:val="000000"/>
          <w:sz w:val="22"/>
          <w:szCs w:val="22"/>
        </w:rPr>
        <w:t xml:space="preserve"> or that the NMFS survey may in fact be missing portions of the Pacific cod populations during t</w:t>
      </w:r>
      <w:r w:rsidR="00D0701E">
        <w:rPr>
          <w:rFonts w:ascii="Arial" w:hAnsi="Arial" w:cs="Arial"/>
          <w:color w:val="000000"/>
          <w:sz w:val="22"/>
          <w:szCs w:val="22"/>
        </w:rPr>
        <w:t>he summer months due to Pacific cod availability differences between the NMFS survey and the commercial fishery.</w:t>
      </w:r>
    </w:p>
    <w:p w14:paraId="149F83AC" w14:textId="77777777" w:rsidR="001B4910" w:rsidRPr="001B4910" w:rsidRDefault="001B4910" w:rsidP="001B4910">
      <w:pPr>
        <w:pStyle w:val="Heading1"/>
        <w:spacing w:line="360" w:lineRule="auto"/>
        <w:rPr>
          <w:rFonts w:ascii="Arial" w:hAnsi="Arial" w:cs="Arial"/>
        </w:rPr>
      </w:pPr>
      <w:r w:rsidRPr="001B4910">
        <w:rPr>
          <w:rFonts w:ascii="Arial" w:hAnsi="Arial" w:cs="Arial"/>
          <w:color w:val="000000"/>
          <w:szCs w:val="22"/>
        </w:rPr>
        <w:lastRenderedPageBreak/>
        <w:t>2.0 Materials and Methods </w:t>
      </w:r>
    </w:p>
    <w:p w14:paraId="468B09C4" w14:textId="2334DC84"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To assure the most adequate overlap in time and space, Pacific cod lengths from the Aleutian Islands and Eastern Bering Sea bottom-trawl fishery and NMFS survey were used in these analyses (Figure 1). All Pacific cod raw length measurements from the bottom-trawl fishery used in this study were obtained from the North Pacific Fisheries Monitoring and Analysis division (NMFS Observer Program), which monitors groundfish activities in the federal fisheries off the coast of Alaska (AFSC, 2018). Specifically, the length frequencies were from bottom-trawl fishing vessels, which had full NMFS observer coverage and were either actively targeting Pacific cod or Pacific cod was the dominant catch in the haul </w:t>
      </w:r>
      <w:r w:rsidR="00370C23">
        <w:rPr>
          <w:rFonts w:ascii="Arial" w:hAnsi="Arial" w:cs="Arial"/>
          <w:color w:val="000000"/>
          <w:sz w:val="22"/>
          <w:szCs w:val="22"/>
        </w:rPr>
        <w:t xml:space="preserve">as observed by the fishery observer </w:t>
      </w:r>
      <w:r w:rsidRPr="001B4910">
        <w:rPr>
          <w:rFonts w:ascii="Arial" w:hAnsi="Arial" w:cs="Arial"/>
          <w:color w:val="000000"/>
          <w:sz w:val="22"/>
          <w:szCs w:val="22"/>
        </w:rPr>
        <w:t xml:space="preserve">(i.e., bycatch). All Pacific cod length measurements from the NMFS survey were obtained from the NMFS standardized bottom-trawl surveys and </w:t>
      </w:r>
      <w:r w:rsidR="00370C23">
        <w:rPr>
          <w:rFonts w:ascii="Arial" w:hAnsi="Arial" w:cs="Arial"/>
          <w:color w:val="000000"/>
          <w:sz w:val="22"/>
          <w:szCs w:val="22"/>
        </w:rPr>
        <w:t xml:space="preserve">were </w:t>
      </w:r>
      <w:r w:rsidRPr="001B4910">
        <w:rPr>
          <w:rFonts w:ascii="Arial" w:hAnsi="Arial" w:cs="Arial"/>
          <w:color w:val="000000"/>
          <w:sz w:val="22"/>
          <w:szCs w:val="22"/>
        </w:rPr>
        <w:t>randomly collected</w:t>
      </w:r>
      <w:r w:rsidR="00370C23">
        <w:rPr>
          <w:rFonts w:ascii="Arial" w:hAnsi="Arial" w:cs="Arial"/>
          <w:color w:val="000000"/>
          <w:sz w:val="22"/>
          <w:szCs w:val="22"/>
        </w:rPr>
        <w:t xml:space="preserve"> from each haul that captured Pacific cod</w:t>
      </w:r>
      <w:r w:rsidRPr="001B4910">
        <w:rPr>
          <w:rFonts w:ascii="Arial" w:hAnsi="Arial" w:cs="Arial"/>
          <w:color w:val="000000"/>
          <w:sz w:val="22"/>
          <w:szCs w:val="22"/>
        </w:rPr>
        <w:t>, generally operating between the hours of 0700 and 1900 (Lauth et al., 2019). </w:t>
      </w:r>
    </w:p>
    <w:p w14:paraId="5F028B74" w14:textId="77777777" w:rsidR="001B4910" w:rsidRPr="001B4910" w:rsidRDefault="001B4910" w:rsidP="001B4910">
      <w:pPr>
        <w:pStyle w:val="Heading2"/>
        <w:spacing w:line="360" w:lineRule="auto"/>
        <w:rPr>
          <w:rFonts w:ascii="Arial" w:hAnsi="Arial" w:cs="Arial"/>
        </w:rPr>
      </w:pPr>
      <w:r w:rsidRPr="001B4910">
        <w:rPr>
          <w:rFonts w:ascii="Arial" w:hAnsi="Arial" w:cs="Arial"/>
          <w:b/>
          <w:bCs/>
          <w:i w:val="0"/>
          <w:iCs/>
          <w:color w:val="000000"/>
          <w:szCs w:val="22"/>
        </w:rPr>
        <w:t>2.1 Length Measurement Summary </w:t>
      </w:r>
    </w:p>
    <w:p w14:paraId="7FACC684" w14:textId="4C5B9FAB"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To test our hypothesis that the observed length distribution mismatch between the bottom-trawl fishery and NMFS is due to lack of seasonal overlap, we examined only those length measurements that spatially and temporally overlapped in the summer months (May – August) within the Aleutian Islands and Eastern Bering Sea. Because there </w:t>
      </w:r>
      <w:r w:rsidR="00D0701E">
        <w:rPr>
          <w:rFonts w:ascii="Arial" w:hAnsi="Arial" w:cs="Arial"/>
          <w:color w:val="000000"/>
          <w:sz w:val="22"/>
          <w:szCs w:val="22"/>
        </w:rPr>
        <w:t>few</w:t>
      </w:r>
      <w:r w:rsidRPr="001B4910">
        <w:rPr>
          <w:rFonts w:ascii="Arial" w:hAnsi="Arial" w:cs="Arial"/>
          <w:color w:val="000000"/>
          <w:sz w:val="22"/>
          <w:szCs w:val="22"/>
        </w:rPr>
        <w:t xml:space="preserve"> Pacific cod length measurements in the summer months from the bottom-trawl fishery, we tested at a coarse</w:t>
      </w:r>
      <w:r w:rsidR="00370C23">
        <w:rPr>
          <w:rFonts w:ascii="Arial" w:hAnsi="Arial" w:cs="Arial"/>
          <w:color w:val="000000"/>
          <w:sz w:val="22"/>
          <w:szCs w:val="22"/>
        </w:rPr>
        <w:t xml:space="preserve"> spatial level – Aleutians Islands-wide</w:t>
      </w:r>
      <w:r w:rsidRPr="001B4910">
        <w:rPr>
          <w:rFonts w:ascii="Arial" w:hAnsi="Arial" w:cs="Arial"/>
          <w:color w:val="000000"/>
          <w:sz w:val="22"/>
          <w:szCs w:val="22"/>
        </w:rPr>
        <w:t xml:space="preserve"> and Eastern Bering Sea</w:t>
      </w:r>
      <w:r w:rsidR="00370C23">
        <w:rPr>
          <w:rFonts w:ascii="Arial" w:hAnsi="Arial" w:cs="Arial"/>
          <w:color w:val="000000"/>
          <w:sz w:val="22"/>
          <w:szCs w:val="22"/>
        </w:rPr>
        <w:t>-wide</w:t>
      </w:r>
      <w:r w:rsidRPr="001B4910">
        <w:rPr>
          <w:rFonts w:ascii="Arial" w:hAnsi="Arial" w:cs="Arial"/>
          <w:color w:val="000000"/>
          <w:sz w:val="22"/>
          <w:szCs w:val="22"/>
        </w:rPr>
        <w:t xml:space="preserve">. </w:t>
      </w:r>
      <w:r w:rsidR="00370C23">
        <w:rPr>
          <w:rFonts w:ascii="Arial" w:hAnsi="Arial" w:cs="Arial"/>
          <w:color w:val="000000"/>
          <w:sz w:val="22"/>
          <w:szCs w:val="22"/>
        </w:rPr>
        <w:t>W</w:t>
      </w:r>
      <w:r w:rsidRPr="001B4910">
        <w:rPr>
          <w:rFonts w:ascii="Arial" w:hAnsi="Arial" w:cs="Arial"/>
          <w:color w:val="000000"/>
          <w:sz w:val="22"/>
          <w:szCs w:val="22"/>
        </w:rPr>
        <w:t>e display</w:t>
      </w:r>
      <w:r w:rsidR="00370C23">
        <w:rPr>
          <w:rFonts w:ascii="Arial" w:hAnsi="Arial" w:cs="Arial"/>
          <w:color w:val="000000"/>
          <w:sz w:val="22"/>
          <w:szCs w:val="22"/>
        </w:rPr>
        <w:t>ed</w:t>
      </w:r>
      <w:r w:rsidRPr="001B4910">
        <w:rPr>
          <w:rFonts w:ascii="Arial" w:hAnsi="Arial" w:cs="Arial"/>
          <w:color w:val="000000"/>
          <w:sz w:val="22"/>
          <w:szCs w:val="22"/>
        </w:rPr>
        <w:t xml:space="preserve"> the length distribution from the bottom-trawl fishery in the winter months only to contrast with those observed in the summer months, in effect illustrating the mismatch in length distributions. </w:t>
      </w:r>
      <w:r w:rsidR="00370C23">
        <w:rPr>
          <w:rFonts w:ascii="Arial" w:hAnsi="Arial" w:cs="Arial"/>
          <w:color w:val="000000"/>
          <w:sz w:val="22"/>
          <w:szCs w:val="22"/>
        </w:rPr>
        <w:t xml:space="preserve">The Pacific cod winter length measurements from the bottom-trawl fishery were not used in subsequent analyses. </w:t>
      </w:r>
    </w:p>
    <w:p w14:paraId="2248ACF1" w14:textId="77777777"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The bottom-trawl fishery conducts fishing operations 24h around the clock thus we examined median length measurements of Pacific cod at 1h intervals during the summer months to determine if the size of fish captured at each hour over a 24h period varied significantly. We noted no significant differences in measured Pacific cod lengths by time of day, however, to maintain the same temporal overlap, only lengths that were measured to coincide with the NMFS survey operating hours from 0700 – 1900 were included in the analysis. </w:t>
      </w:r>
    </w:p>
    <w:p w14:paraId="591F5E1C" w14:textId="77777777"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The length measurements from male, female, and unsexed Pacific cod were combined in these analyses within the respective bottom-trawl fishery and NMFS survey datasets. </w:t>
      </w:r>
    </w:p>
    <w:p w14:paraId="236A39BB" w14:textId="0052FE50" w:rsidR="001B4910" w:rsidRPr="001B4910" w:rsidRDefault="00370C23" w:rsidP="001B4910">
      <w:pPr>
        <w:pStyle w:val="NormalWeb"/>
        <w:spacing w:before="0" w:beforeAutospacing="0" w:after="0" w:afterAutospacing="0" w:line="360" w:lineRule="auto"/>
        <w:ind w:firstLine="720"/>
        <w:rPr>
          <w:rFonts w:ascii="Arial" w:hAnsi="Arial" w:cs="Arial"/>
        </w:rPr>
      </w:pPr>
      <w:r>
        <w:rPr>
          <w:rFonts w:ascii="Arial" w:hAnsi="Arial" w:cs="Arial"/>
          <w:color w:val="000000"/>
          <w:sz w:val="22"/>
          <w:szCs w:val="22"/>
        </w:rPr>
        <w:t xml:space="preserve">The NMFS survey net has much smaller mesh sizes </w:t>
      </w:r>
      <w:r w:rsidR="00B653B6">
        <w:rPr>
          <w:rFonts w:ascii="Arial" w:hAnsi="Arial" w:cs="Arial"/>
          <w:color w:val="000000"/>
          <w:sz w:val="22"/>
          <w:szCs w:val="22"/>
        </w:rPr>
        <w:t xml:space="preserve">(3.1 cm mesh codend liner, Stauffer, 2004) </w:t>
      </w:r>
      <w:r>
        <w:rPr>
          <w:rFonts w:ascii="Arial" w:hAnsi="Arial" w:cs="Arial"/>
          <w:color w:val="000000"/>
          <w:sz w:val="22"/>
          <w:szCs w:val="22"/>
        </w:rPr>
        <w:t xml:space="preserve">and is </w:t>
      </w:r>
      <w:r w:rsidR="001B4910" w:rsidRPr="001B4910">
        <w:rPr>
          <w:rFonts w:ascii="Arial" w:hAnsi="Arial" w:cs="Arial"/>
          <w:color w:val="000000"/>
          <w:sz w:val="22"/>
          <w:szCs w:val="22"/>
        </w:rPr>
        <w:t>designed to capture the breadth of Pacific cod sizes, whereas the bottom-</w:t>
      </w:r>
      <w:r w:rsidR="001B4910" w:rsidRPr="001B4910">
        <w:rPr>
          <w:rFonts w:ascii="Arial" w:hAnsi="Arial" w:cs="Arial"/>
          <w:color w:val="000000"/>
          <w:sz w:val="22"/>
          <w:szCs w:val="22"/>
        </w:rPr>
        <w:lastRenderedPageBreak/>
        <w:t xml:space="preserve">trawl fishery gear </w:t>
      </w:r>
      <w:r w:rsidR="00B653B6">
        <w:rPr>
          <w:rFonts w:ascii="Arial" w:hAnsi="Arial" w:cs="Arial"/>
          <w:color w:val="000000"/>
          <w:sz w:val="22"/>
          <w:szCs w:val="22"/>
        </w:rPr>
        <w:t>has larger mesh sizes and therefore will avoid, in general, capturing</w:t>
      </w:r>
      <w:r w:rsidR="001B4910" w:rsidRPr="001B4910">
        <w:rPr>
          <w:rFonts w:ascii="Arial" w:hAnsi="Arial" w:cs="Arial"/>
          <w:color w:val="000000"/>
          <w:sz w:val="22"/>
          <w:szCs w:val="22"/>
        </w:rPr>
        <w:t xml:space="preserve"> small fish. To </w:t>
      </w:r>
      <w:r w:rsidR="00464D4C">
        <w:rPr>
          <w:rFonts w:ascii="Arial" w:hAnsi="Arial" w:cs="Arial"/>
          <w:color w:val="000000"/>
          <w:sz w:val="22"/>
          <w:szCs w:val="22"/>
        </w:rPr>
        <w:t>standardize</w:t>
      </w:r>
      <w:r w:rsidR="001B4910" w:rsidRPr="001B4910">
        <w:rPr>
          <w:rFonts w:ascii="Arial" w:hAnsi="Arial" w:cs="Arial"/>
          <w:color w:val="000000"/>
          <w:sz w:val="22"/>
          <w:szCs w:val="22"/>
        </w:rPr>
        <w:t xml:space="preserve"> the observations, the mature portion of the Pacific cod length distribution from the NFMS survey was estimated in order to make comparisons between the NMFS survey</w:t>
      </w:r>
      <w:r w:rsidR="00464D4C">
        <w:rPr>
          <w:rFonts w:ascii="Arial" w:hAnsi="Arial" w:cs="Arial"/>
          <w:color w:val="000000"/>
          <w:sz w:val="22"/>
          <w:szCs w:val="22"/>
        </w:rPr>
        <w:t xml:space="preserve"> and the bottom-trawl fishery. </w:t>
      </w:r>
      <w:r w:rsidR="001B4910" w:rsidRPr="001B4910">
        <w:rPr>
          <w:rFonts w:ascii="Arial" w:hAnsi="Arial" w:cs="Arial"/>
          <w:color w:val="000000"/>
          <w:sz w:val="22"/>
          <w:szCs w:val="22"/>
        </w:rPr>
        <w:t>To do this, we used length-based 50% maturity curves that were obtained from Spies et al., (2020) for the Aleutian Islands and from Stark (2007) for the Eastern Bering Sea and noted those fish as "mature" to test our hypothesis. The maturity estimates reach asymptotes, where almost all fish are considered mature, at approximately 86 cm in the Aleutian Islands (≥ 98%) and 88 cm (≥ 98%) in the Eastern Bering Sea. We multiplied the total number of measured Pacific cod lengths per cm and percent mature starting at 21 cm through the range of measured fish sizes. </w:t>
      </w:r>
    </w:p>
    <w:p w14:paraId="3D358171" w14:textId="77777777"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To account for the vast differences between the NMFS survey gear and the bottom-trawl fishery gear, we only used Pacific cod length measurements greater than ≥ 45 cm based on the on the fact that fishery gear only begins to catch fish at lengths greater than 44 cm (mid-year); catch rates for fish in the 40-45 cm range are minimal (Thompson et al., 2020). This allowed a more formal comparison between the bottom-trawl fishery and NMFS survey length measurements of Pacific cod during the summer months. </w:t>
      </w:r>
    </w:p>
    <w:p w14:paraId="48B3A2F8" w14:textId="77777777"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We used the Mann-Whitney test to compare the bottom-trawl length frequency distributions of Pacific cod to the NMFS survey length frequency distribution of Pacific cod. The total number of Pacific cod length measurements examined from the bottom-trawl fishery and the NMFS survey in the Aleutian Islands and Eastern Bering Sea are summarized in Table 1.</w:t>
      </w:r>
    </w:p>
    <w:p w14:paraId="2E7FD28C" w14:textId="77777777" w:rsidR="001B4910" w:rsidRPr="001B4910" w:rsidRDefault="001B4910" w:rsidP="001B4910">
      <w:pPr>
        <w:pStyle w:val="Heading2"/>
        <w:spacing w:line="360" w:lineRule="auto"/>
        <w:rPr>
          <w:rFonts w:ascii="Arial" w:hAnsi="Arial" w:cs="Arial"/>
        </w:rPr>
      </w:pPr>
      <w:r w:rsidRPr="001B4910">
        <w:rPr>
          <w:rFonts w:ascii="Arial" w:hAnsi="Arial" w:cs="Arial"/>
          <w:b/>
          <w:bCs/>
          <w:i w:val="0"/>
          <w:iCs/>
          <w:color w:val="000000"/>
          <w:szCs w:val="22"/>
        </w:rPr>
        <w:t>2.2 Aleutian Islands (1991 – 2018)</w:t>
      </w:r>
    </w:p>
    <w:p w14:paraId="78BCFF27" w14:textId="77777777" w:rsidR="001B4910" w:rsidRPr="001B4910" w:rsidRDefault="001B4910" w:rsidP="001B4910">
      <w:pPr>
        <w:pStyle w:val="Heading3"/>
        <w:spacing w:line="360" w:lineRule="auto"/>
        <w:rPr>
          <w:rFonts w:ascii="Arial" w:hAnsi="Arial" w:cs="Arial"/>
        </w:rPr>
      </w:pPr>
      <w:r w:rsidRPr="001B4910">
        <w:rPr>
          <w:rFonts w:ascii="Arial" w:hAnsi="Arial" w:cs="Arial"/>
          <w:b/>
          <w:bCs/>
          <w:color w:val="000000"/>
          <w:szCs w:val="22"/>
        </w:rPr>
        <w:t>2.2.1 Bottom-Trawl Fishery Data</w:t>
      </w:r>
    </w:p>
    <w:p w14:paraId="05956126" w14:textId="77777777"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Pacific cod length distributions from the bottom-trawl fishery in the Aleutian Islands were examined between the years 1991 – 2018 during the summer months only (May – August), to coincide with the NMFS survey. All raw measured lengths are shown as the proportion per cm bin. Because bottom-trawl data was very limited in the summer months, the area of analysis spans the entire Aleutian Islands management area. Additionally, it should be noted that there are very few length measurements from the bottom-trawl fishery in the Aleutian Islands in the summer months (&lt;200) during the 2010 – 2018 time-period (which roughly coincides with the time period examined in the Eastern Bering Sea) due to fishery management changes (i.e., closures) and shifts in fishing behavior; therefore, we included a longer time series (1991 – 2018). All bottom-trawl fishery length measurements were aggregated to the Aleutian Islands NMFS survey grid, which measures 5 km x 5 km for each grid cell, using ESRI ArcGIS 10.8, in order to display the median length of Pacific cod. Aggregating fishery data over several years </w:t>
      </w:r>
      <w:r w:rsidRPr="001B4910">
        <w:rPr>
          <w:rFonts w:ascii="Arial" w:hAnsi="Arial" w:cs="Arial"/>
          <w:color w:val="000000"/>
          <w:sz w:val="22"/>
          <w:szCs w:val="22"/>
        </w:rPr>
        <w:lastRenderedPageBreak/>
        <w:t>and grid cells ensured vessel and haul confidentiality. The total number of measured lengths is summarized in Table 1. </w:t>
      </w:r>
    </w:p>
    <w:p w14:paraId="4EBCAA86" w14:textId="77777777" w:rsidR="001B4910" w:rsidRPr="001B4910" w:rsidRDefault="001B4910" w:rsidP="001B4910">
      <w:pPr>
        <w:pStyle w:val="Heading3"/>
        <w:spacing w:line="360" w:lineRule="auto"/>
        <w:rPr>
          <w:rFonts w:ascii="Arial" w:hAnsi="Arial" w:cs="Arial"/>
        </w:rPr>
      </w:pPr>
      <w:r w:rsidRPr="001B4910">
        <w:rPr>
          <w:rFonts w:ascii="Arial" w:hAnsi="Arial" w:cs="Arial"/>
          <w:b/>
          <w:bCs/>
          <w:color w:val="000000"/>
          <w:szCs w:val="22"/>
        </w:rPr>
        <w:t>2.2.2 NMFS Survey Data</w:t>
      </w:r>
    </w:p>
    <w:p w14:paraId="36E6A79A" w14:textId="77777777"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Pacific cod length distributions from the NMFS survey in the Aleutian Islands were examined between the years 1991 – 2018 during summer months (May – August) when the survey occurs. All raw measured lengths are shown as the proportion per cm bin. The Aleutian Islands NMFS survey takes place biennially; however, there was no survey in 1993 and the next survey occurred in 1994; there was also no survey in 2012. The NMFS survey uses a Poly Nor’Eastern trawl net (Stauffer 2004). The NMFS survey is an index survey based on a stratified-random design of previously successful stations. Stations are allocated among measured strata and a grid of 5 km x 5 km cells is overlain over the survey area and stations are targeted to fit within the preselected grid of the station (Figure 1). Stations within grids are surveyed in habitat that is trawlable to the NMFS survey gear. All NMFS survey length measurements were aggregated to the 5 km x 5 km NMFS survey grid. The total number of measured lengths is summarized in Table 1. </w:t>
      </w:r>
    </w:p>
    <w:p w14:paraId="49B89F61" w14:textId="77777777" w:rsidR="001B4910" w:rsidRPr="001B4910" w:rsidRDefault="001B4910" w:rsidP="001B4910">
      <w:pPr>
        <w:pStyle w:val="Heading2"/>
        <w:spacing w:line="360" w:lineRule="auto"/>
        <w:rPr>
          <w:rFonts w:ascii="Arial" w:hAnsi="Arial" w:cs="Arial"/>
        </w:rPr>
      </w:pPr>
      <w:r w:rsidRPr="001B4910">
        <w:rPr>
          <w:rFonts w:ascii="Arial" w:hAnsi="Arial" w:cs="Arial"/>
          <w:b/>
          <w:bCs/>
          <w:i w:val="0"/>
          <w:iCs/>
          <w:color w:val="000000"/>
          <w:szCs w:val="22"/>
        </w:rPr>
        <w:t>2.3 Eastern Bering Sea (2009 – 2018)</w:t>
      </w:r>
    </w:p>
    <w:p w14:paraId="4AC71D4F" w14:textId="77777777" w:rsidR="001B4910" w:rsidRPr="001B4910" w:rsidRDefault="001B4910" w:rsidP="001B4910">
      <w:pPr>
        <w:pStyle w:val="Heading3"/>
        <w:spacing w:line="360" w:lineRule="auto"/>
        <w:rPr>
          <w:rFonts w:ascii="Arial" w:hAnsi="Arial" w:cs="Arial"/>
        </w:rPr>
      </w:pPr>
      <w:r w:rsidRPr="001B4910">
        <w:rPr>
          <w:rFonts w:ascii="Arial" w:hAnsi="Arial" w:cs="Arial"/>
          <w:b/>
          <w:bCs/>
          <w:color w:val="000000"/>
          <w:szCs w:val="22"/>
        </w:rPr>
        <w:t>2.3.1 Bottom-Trawl Fishery Data</w:t>
      </w:r>
    </w:p>
    <w:p w14:paraId="53BC4E11" w14:textId="77777777"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Pacific cod length distributions from the bottom-trawl fishery in the Eastern Bering Sea were examined between the years 2009 – 2018 during the summer months only (May – August), to coincide with the NMFS survey. All raw length measurements are shown as the proportion per cm bin. All bottom-trawl fishery length measurements were aggregated to the Eastern Bering Sea NMFS survey grid, which measures 20 nmi x 20 nmi for each grid cell, using ESRI ArcGIS 10.8, in order to display the median length of Pacific cod. Aggregating fishery data over several years and grid cells ensured vessel and haul confidentiality. The total number of length measurements is summarized in Table 1. In the case of the Eastern Bering Sea, Pacific cod length measurements from the bottom-trawl fishery were spatially limited in the summer months to certain portions of the Eastern Bering Sea shelf. Therefore, NMFS survey length measurements were confined to areas where the bottom-trawl fishery locations overlapped with NMFS survey (Figure 1).This eliminated less than 5% of the Pacific cod length measurements from the bottom-trawl fishery in the summer from the NMFS survey extent (i.e. those hauls that occurred outside the Eastern Bering Sea NMFS survey grid cells) (Figure 1).</w:t>
      </w:r>
    </w:p>
    <w:p w14:paraId="7A0BD15E" w14:textId="77777777" w:rsidR="001B4910" w:rsidRPr="001B4910" w:rsidRDefault="001B4910" w:rsidP="001B4910">
      <w:pPr>
        <w:pStyle w:val="Heading3"/>
        <w:spacing w:line="360" w:lineRule="auto"/>
        <w:rPr>
          <w:rFonts w:ascii="Arial" w:hAnsi="Arial" w:cs="Arial"/>
        </w:rPr>
      </w:pPr>
      <w:r w:rsidRPr="001B4910">
        <w:rPr>
          <w:rFonts w:ascii="Arial" w:hAnsi="Arial" w:cs="Arial"/>
          <w:b/>
          <w:bCs/>
          <w:color w:val="000000"/>
          <w:szCs w:val="22"/>
        </w:rPr>
        <w:t>2.3.2 NMFS Survey Data</w:t>
      </w:r>
    </w:p>
    <w:p w14:paraId="326BF245" w14:textId="77777777"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Pacific cod length distributions from the NMFS survey in the Eastern Bering Sea were examined between the years 2009 – 2018 during summer months (May – August) when the survey </w:t>
      </w:r>
      <w:r w:rsidRPr="001B4910">
        <w:rPr>
          <w:rFonts w:ascii="Arial" w:hAnsi="Arial" w:cs="Arial"/>
          <w:color w:val="000000"/>
          <w:sz w:val="22"/>
          <w:szCs w:val="22"/>
        </w:rPr>
        <w:lastRenderedPageBreak/>
        <w:t>occurred. All raw length measurements are shown as the proportion per one centimeter bin. The Eastern Bering Sea NMFS survey takes place on an annual basis and conducts a single tow within each 20 nmi x 20 nmi grid cell, across the entire Eastern Bering Sea shelf and shelf break from 13 m to approximately 300 m, with occasional gear depths recorded up to 420 m off the shelf break (Figure 1). All NMFS survey length measurements were aggregated to the 20 nmi x 20 nmi grid NMFS survey grid (Table 1). </w:t>
      </w:r>
    </w:p>
    <w:p w14:paraId="723A02ED" w14:textId="77777777" w:rsidR="001B4910" w:rsidRPr="001B4910" w:rsidRDefault="001B4910" w:rsidP="001B4910">
      <w:pPr>
        <w:pStyle w:val="Heading1"/>
        <w:spacing w:line="360" w:lineRule="auto"/>
        <w:rPr>
          <w:rFonts w:ascii="Arial" w:hAnsi="Arial" w:cs="Arial"/>
        </w:rPr>
      </w:pPr>
      <w:r w:rsidRPr="001B4910">
        <w:rPr>
          <w:rFonts w:ascii="Arial" w:hAnsi="Arial" w:cs="Arial"/>
          <w:color w:val="000000"/>
          <w:szCs w:val="22"/>
        </w:rPr>
        <w:t>3.0 Results</w:t>
      </w:r>
    </w:p>
    <w:p w14:paraId="368F3157" w14:textId="77777777" w:rsidR="001B4910" w:rsidRPr="001B4910" w:rsidRDefault="001B4910" w:rsidP="001B4910">
      <w:pPr>
        <w:pStyle w:val="NormalWeb"/>
        <w:spacing w:before="0" w:beforeAutospacing="0" w:after="160" w:afterAutospacing="0" w:line="360" w:lineRule="auto"/>
        <w:rPr>
          <w:rFonts w:ascii="Arial" w:hAnsi="Arial" w:cs="Arial"/>
        </w:rPr>
      </w:pPr>
      <w:r w:rsidRPr="001B4910">
        <w:rPr>
          <w:rFonts w:ascii="Arial" w:hAnsi="Arial" w:cs="Arial"/>
          <w:color w:val="000000"/>
          <w:sz w:val="22"/>
          <w:szCs w:val="22"/>
        </w:rPr>
        <w:t>Pacific cod length summary statistics for the bottom-trawl fishery and NMFS survey Pacific cod length measurements are summarized in Table 2.  </w:t>
      </w:r>
    </w:p>
    <w:p w14:paraId="2E64982B" w14:textId="77777777" w:rsidR="001B4910" w:rsidRPr="001B4910" w:rsidRDefault="001B4910" w:rsidP="001B4910">
      <w:pPr>
        <w:pStyle w:val="Heading2"/>
        <w:spacing w:line="360" w:lineRule="auto"/>
        <w:rPr>
          <w:rFonts w:ascii="Arial" w:hAnsi="Arial" w:cs="Arial"/>
        </w:rPr>
      </w:pPr>
      <w:r w:rsidRPr="001B4910">
        <w:rPr>
          <w:rFonts w:ascii="Arial" w:hAnsi="Arial" w:cs="Arial"/>
          <w:b/>
          <w:bCs/>
          <w:i w:val="0"/>
          <w:iCs/>
          <w:color w:val="000000"/>
          <w:szCs w:val="22"/>
        </w:rPr>
        <w:t>3.1 Aleutian Islands (1991 – 2018)</w:t>
      </w:r>
    </w:p>
    <w:p w14:paraId="642E80FC" w14:textId="6358ED4F"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Approximately 83% of the Pacific cod captured in the bottom-trawl fishery during the summer months were considered mature, whereas 87% of fish captured during the winter fishery (January – April) were mature (Table 1). During the summer months, 53% of Pacific cod from the NMFS survey were considered mature (Table 1).  The median length of mature fish ≥ 45 cm for the bottom-trawl fishery, May – August, was 76 cm and 68 cm for the NMFS survey (Table 1, grey rows). The average median lengths for all Pacific cod lengths by NMFS survey grid cell, May – August, are shown in Figure 2a-d. For the bottom-trawl fishery, measured Pacific cod lengths were sparse in the western Aleutian Islands (Figure 2a), and likely occurred as bycatch in other fisheries. The median of all measured Pacific cod lengths for the NMFS survey illustrated broad coverage of both the east and western </w:t>
      </w:r>
      <w:r w:rsidR="00D0701E">
        <w:rPr>
          <w:rFonts w:ascii="Arial" w:hAnsi="Arial" w:cs="Arial"/>
          <w:color w:val="000000"/>
          <w:sz w:val="22"/>
          <w:szCs w:val="22"/>
        </w:rPr>
        <w:t xml:space="preserve">Aleutian Islands; </w:t>
      </w:r>
      <w:r w:rsidRPr="001B4910">
        <w:rPr>
          <w:rFonts w:ascii="Arial" w:hAnsi="Arial" w:cs="Arial"/>
          <w:color w:val="000000"/>
          <w:sz w:val="22"/>
          <w:szCs w:val="22"/>
        </w:rPr>
        <w:t xml:space="preserve">Pacific cod with a median </w:t>
      </w:r>
      <w:r w:rsidR="00D0701E">
        <w:rPr>
          <w:rFonts w:ascii="Arial" w:hAnsi="Arial" w:cs="Arial"/>
          <w:color w:val="000000"/>
          <w:sz w:val="22"/>
          <w:szCs w:val="22"/>
        </w:rPr>
        <w:t xml:space="preserve">length </w:t>
      </w:r>
      <w:r w:rsidRPr="001B4910">
        <w:rPr>
          <w:rFonts w:ascii="Arial" w:hAnsi="Arial" w:cs="Arial"/>
          <w:color w:val="000000"/>
          <w:sz w:val="22"/>
          <w:szCs w:val="22"/>
        </w:rPr>
        <w:t>between 86 and 104 cm occurred in the western Aleutian Islands (Figure 2c-d). </w:t>
      </w:r>
    </w:p>
    <w:p w14:paraId="67173BCE" w14:textId="37B43D2D"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Pacific cod length distributions for the Aleutian Islands (Figure 3a-c) show different modes for the bottom-trawl fishery (summer), NMFS survey, and winter bottom-tr</w:t>
      </w:r>
      <w:r w:rsidR="00D0701E">
        <w:rPr>
          <w:rFonts w:ascii="Arial" w:hAnsi="Arial" w:cs="Arial"/>
          <w:color w:val="000000"/>
          <w:sz w:val="22"/>
          <w:szCs w:val="22"/>
        </w:rPr>
        <w:t xml:space="preserve">awl fishery(Table 2). When </w:t>
      </w:r>
      <w:r w:rsidRPr="001B4910">
        <w:rPr>
          <w:rFonts w:ascii="Arial" w:hAnsi="Arial" w:cs="Arial"/>
          <w:color w:val="000000"/>
          <w:sz w:val="22"/>
          <w:szCs w:val="22"/>
        </w:rPr>
        <w:t xml:space="preserve">examining </w:t>
      </w:r>
      <w:r w:rsidR="00D0701E">
        <w:rPr>
          <w:rFonts w:ascii="Arial" w:hAnsi="Arial" w:cs="Arial"/>
          <w:color w:val="000000"/>
          <w:sz w:val="22"/>
          <w:szCs w:val="22"/>
        </w:rPr>
        <w:t xml:space="preserve">only the mature Pacific cod in </w:t>
      </w:r>
      <w:r w:rsidRPr="001B4910">
        <w:rPr>
          <w:rFonts w:ascii="Arial" w:hAnsi="Arial" w:cs="Arial"/>
          <w:color w:val="000000"/>
          <w:sz w:val="22"/>
          <w:szCs w:val="22"/>
        </w:rPr>
        <w:t xml:space="preserve">the bottom-trawl fishery and NMFS survey in the summer months, </w:t>
      </w:r>
      <w:r w:rsidR="00D0701E">
        <w:rPr>
          <w:rFonts w:ascii="Arial" w:hAnsi="Arial" w:cs="Arial"/>
          <w:color w:val="000000"/>
          <w:sz w:val="22"/>
          <w:szCs w:val="22"/>
        </w:rPr>
        <w:t xml:space="preserve">the fish were greater length in the bottom trawl fishery than in the NMFS survey </w:t>
      </w:r>
      <w:r w:rsidRPr="001B4910">
        <w:rPr>
          <w:rFonts w:ascii="Arial" w:hAnsi="Arial" w:cs="Arial"/>
          <w:color w:val="000000"/>
          <w:sz w:val="22"/>
          <w:szCs w:val="22"/>
        </w:rPr>
        <w:t xml:space="preserve">(Figure 3b). The Mann-Whitney test on the length distributions for mature fish ≥ 45 cm during the summer months confirmed this observation and revealed a significant difference in the median length between the NMFS survey and the bottom-trawl fishery (Figure 3b and Table 2; W=64423783, </w:t>
      </w:r>
      <w:r w:rsidRPr="001B4910">
        <w:rPr>
          <w:rFonts w:ascii="Arial" w:hAnsi="Arial" w:cs="Arial"/>
          <w:i/>
          <w:iCs/>
          <w:color w:val="000000"/>
          <w:sz w:val="22"/>
          <w:szCs w:val="22"/>
        </w:rPr>
        <w:t>p</w:t>
      </w:r>
      <w:r w:rsidRPr="001B4910">
        <w:rPr>
          <w:rFonts w:ascii="Arial" w:hAnsi="Arial" w:cs="Arial"/>
          <w:color w:val="000000"/>
          <w:sz w:val="22"/>
          <w:szCs w:val="22"/>
        </w:rPr>
        <w:t>-value &lt; 0.001). The winter bottom-trawl fishery “All Lengths” and “Mature” fish are very similar and illustrate that the winter fishery primarily targets larger, mature fish (Figure 3c).</w:t>
      </w:r>
    </w:p>
    <w:p w14:paraId="015E3C22" w14:textId="77777777" w:rsidR="001B4910" w:rsidRPr="001B4910" w:rsidRDefault="001B4910" w:rsidP="001B4910">
      <w:pPr>
        <w:pStyle w:val="Heading2"/>
        <w:spacing w:line="360" w:lineRule="auto"/>
        <w:rPr>
          <w:rFonts w:ascii="Arial" w:hAnsi="Arial" w:cs="Arial"/>
        </w:rPr>
      </w:pPr>
      <w:r w:rsidRPr="001B4910">
        <w:rPr>
          <w:rFonts w:ascii="Arial" w:hAnsi="Arial" w:cs="Arial"/>
          <w:b/>
          <w:bCs/>
          <w:i w:val="0"/>
          <w:iCs/>
          <w:color w:val="000000"/>
          <w:szCs w:val="22"/>
        </w:rPr>
        <w:lastRenderedPageBreak/>
        <w:t>3.2 Eastern Bering Sea (2009 – 2018)</w:t>
      </w:r>
    </w:p>
    <w:p w14:paraId="1735A637" w14:textId="2526ADEA" w:rsidR="001B4910" w:rsidRPr="001B4910" w:rsidRDefault="001B4910" w:rsidP="001B4910">
      <w:pPr>
        <w:pStyle w:val="NormalWeb"/>
        <w:spacing w:before="0" w:beforeAutospacing="0" w:after="0" w:afterAutospacing="0" w:line="360" w:lineRule="auto"/>
        <w:rPr>
          <w:rFonts w:ascii="Arial" w:hAnsi="Arial" w:cs="Arial"/>
        </w:rPr>
      </w:pPr>
      <w:r w:rsidRPr="001B4910">
        <w:rPr>
          <w:rFonts w:ascii="Arial" w:hAnsi="Arial" w:cs="Arial"/>
          <w:color w:val="000000"/>
          <w:sz w:val="22"/>
          <w:szCs w:val="22"/>
        </w:rPr>
        <w:t xml:space="preserve">There was no difference noted in the median length and standard deviation of Pacific cod length measurements by hour (24h) from those fish captured in the bottom-trawl fishery (Figure 4, n=19,092). Approximately 55% of the Pacific cod caught in the bottom-trawl fishery during the summer months were considered mature, whereas 69% of fish captured during the winter fishery (January – April) were mature (Table 1). During the summer months, 23% of the Pacific cod captured in the NMFS survey were mature (Table 1). The median length of mature  ≥ 45 cm fish for the bottom-trawl fishery during May – August was 61 cm; the median length of mature ≥ 45 cm fish for the NMFS survey was 60 cm (Table 1, grey rows). The average median lengths for all Pacific cod lengths by NMFS survey grid cell during May – August show that </w:t>
      </w:r>
      <w:r w:rsidR="00D0701E">
        <w:rPr>
          <w:rFonts w:ascii="Arial" w:hAnsi="Arial" w:cs="Arial"/>
          <w:color w:val="000000"/>
          <w:sz w:val="22"/>
          <w:szCs w:val="22"/>
        </w:rPr>
        <w:t xml:space="preserve">median sizes </w:t>
      </w:r>
      <w:r w:rsidRPr="001B4910">
        <w:rPr>
          <w:rFonts w:ascii="Arial" w:hAnsi="Arial" w:cs="Arial"/>
          <w:color w:val="000000"/>
          <w:sz w:val="22"/>
          <w:szCs w:val="22"/>
        </w:rPr>
        <w:t>16 - 50 cm fish are almost entirely located on the inner to middle Eastern Bering Sea shelf as designated by the green and blue grid cells  (Figure 5b). The bottom-trawl fishery observed the smallest fish (32 - 50 cm</w:t>
      </w:r>
      <w:r w:rsidR="00D0701E">
        <w:rPr>
          <w:rFonts w:ascii="Arial" w:hAnsi="Arial" w:cs="Arial"/>
          <w:color w:val="000000"/>
          <w:sz w:val="22"/>
          <w:szCs w:val="22"/>
        </w:rPr>
        <w:t xml:space="preserve"> median size</w:t>
      </w:r>
      <w:r w:rsidRPr="001B4910">
        <w:rPr>
          <w:rFonts w:ascii="Arial" w:hAnsi="Arial" w:cs="Arial"/>
          <w:color w:val="000000"/>
          <w:sz w:val="22"/>
          <w:szCs w:val="22"/>
        </w:rPr>
        <w:t>) within the same region as the NMFS survey (Figure 5a). Figure 5b also illustrates the shift from small Pacific cod on the Eastern Bering Sea shelf and large Pacific cod (Figure 5b, orange and brown grid cells) located along the shelf break. </w:t>
      </w:r>
    </w:p>
    <w:p w14:paraId="003658DD" w14:textId="77777777" w:rsidR="001B4910" w:rsidRPr="001B4910" w:rsidRDefault="001B4910" w:rsidP="001B4910">
      <w:pPr>
        <w:pStyle w:val="NormalWeb"/>
        <w:spacing w:before="0" w:beforeAutospacing="0" w:after="0" w:afterAutospacing="0" w:line="360" w:lineRule="auto"/>
        <w:ind w:firstLine="720"/>
        <w:rPr>
          <w:rFonts w:ascii="Arial" w:hAnsi="Arial" w:cs="Arial"/>
        </w:rPr>
      </w:pPr>
      <w:r w:rsidRPr="001B4910">
        <w:rPr>
          <w:rFonts w:ascii="Arial" w:hAnsi="Arial" w:cs="Arial"/>
          <w:color w:val="000000"/>
          <w:sz w:val="22"/>
          <w:szCs w:val="22"/>
        </w:rPr>
        <w:t>Pacific cod length distributions for the Eastern Bering Sea are shown in Figure 6a-c. The modes for the bottom-trawl fishery (summer), NMFS survey, and winter bottom-trawl survey, all differ (Table 2; Figure 6a). When only examining the bottom-trawl fishery and NMFS survey in the summer months (Figure 6b), the modes were well aligned (Figure 6b). The Mann-Whitney test on the length distributions for mature fish ≥ 45 cm during the summer months revealed no difference in the medians between the NMFS survey and the bottom-trawl fishery (Figure 6b and Table 2; W=118173419, p-value=0.23). Similar to what was observed in the Aleutian Islands, the winter bottom-trawl fishery in the Eastern Bering Sea primarily targets fish of mature size, which are likely pre-spawning or actively spawning (Figure 6c). </w:t>
      </w:r>
    </w:p>
    <w:p w14:paraId="24C9C6CB" w14:textId="773ADCFA" w:rsidR="007D27FC" w:rsidRPr="001B4910" w:rsidRDefault="00745206" w:rsidP="0087056F">
      <w:pPr>
        <w:pStyle w:val="Heading1"/>
        <w:rPr>
          <w:rFonts w:ascii="Arial" w:hAnsi="Arial" w:cs="Arial"/>
          <w:szCs w:val="22"/>
        </w:rPr>
      </w:pPr>
      <w:r w:rsidRPr="001B4910">
        <w:rPr>
          <w:rStyle w:val="Heading1Char"/>
          <w:rFonts w:ascii="Arial" w:hAnsi="Arial" w:cs="Arial"/>
          <w:b/>
          <w:szCs w:val="22"/>
        </w:rPr>
        <w:t xml:space="preserve">4.0 </w:t>
      </w:r>
      <w:r w:rsidR="005201F2" w:rsidRPr="001B4910">
        <w:rPr>
          <w:rStyle w:val="Heading1Char"/>
          <w:rFonts w:ascii="Arial" w:hAnsi="Arial" w:cs="Arial"/>
          <w:b/>
          <w:szCs w:val="22"/>
        </w:rPr>
        <w:t>Discussion</w:t>
      </w:r>
    </w:p>
    <w:p w14:paraId="1096B3B4" w14:textId="260ABE8B" w:rsidR="00606CFE" w:rsidRPr="001B4910" w:rsidRDefault="00BC0AFE" w:rsidP="0087056F">
      <w:pPr>
        <w:spacing w:after="0" w:line="360" w:lineRule="auto"/>
        <w:rPr>
          <w:rFonts w:ascii="Arial" w:hAnsi="Arial" w:cs="Arial"/>
        </w:rPr>
      </w:pPr>
      <w:r w:rsidRPr="001B4910">
        <w:rPr>
          <w:rFonts w:ascii="Arial" w:hAnsi="Arial" w:cs="Arial"/>
        </w:rPr>
        <w:t>Pacific cod population distrib</w:t>
      </w:r>
      <w:r w:rsidR="00D0701E">
        <w:rPr>
          <w:rFonts w:ascii="Arial" w:hAnsi="Arial" w:cs="Arial"/>
        </w:rPr>
        <w:t xml:space="preserve">utions in Alaskan waters vary </w:t>
      </w:r>
      <w:r w:rsidRPr="001B4910">
        <w:rPr>
          <w:rFonts w:ascii="Arial" w:hAnsi="Arial" w:cs="Arial"/>
        </w:rPr>
        <w:t xml:space="preserve">seasonally, based on tagging studies and patterns observed in the bottom-trawl fishery </w:t>
      </w:r>
      <w:r w:rsidR="006442F0" w:rsidRPr="001B4910">
        <w:rPr>
          <w:rFonts w:ascii="Arial" w:hAnsi="Arial" w:cs="Arial"/>
        </w:rPr>
        <w:t xml:space="preserve">and NMFS survey </w:t>
      </w:r>
      <w:r w:rsidRPr="001B4910">
        <w:rPr>
          <w:rFonts w:ascii="Arial" w:hAnsi="Arial" w:cs="Arial"/>
        </w:rPr>
        <w:t xml:space="preserve">catch data (Shimada and Kimura, et al., 1994; Bryan et al., In review). </w:t>
      </w:r>
      <w:r w:rsidR="00443E2D">
        <w:rPr>
          <w:rFonts w:ascii="Arial" w:hAnsi="Arial" w:cs="Arial"/>
        </w:rPr>
        <w:t xml:space="preserve">Pacific cod seasonal movements complicate population-dynamic models which rely on data collected by the fishery and NMFS survey. These data are used to inform model parameters such as selectivity, which is a function of gear and the size of fish that can be retained by the gear. In the case of Pacific cod, the selectivity parameter is highly dependent on the seasonal availability of fish to multiple gear types. </w:t>
      </w:r>
      <w:r w:rsidR="00404F30" w:rsidRPr="001B4910">
        <w:rPr>
          <w:rFonts w:ascii="Arial" w:hAnsi="Arial" w:cs="Arial"/>
        </w:rPr>
        <w:t xml:space="preserve">In the Eastern Bering Sea, given the same </w:t>
      </w:r>
      <w:r w:rsidR="00E32D66">
        <w:rPr>
          <w:rFonts w:ascii="Arial" w:hAnsi="Arial" w:cs="Arial"/>
        </w:rPr>
        <w:t>time and space</w:t>
      </w:r>
      <w:r w:rsidR="00404F30" w:rsidRPr="001B4910">
        <w:rPr>
          <w:rFonts w:ascii="Arial" w:hAnsi="Arial" w:cs="Arial"/>
        </w:rPr>
        <w:t>, the bottom-trawl fishery and NMFS survey observe</w:t>
      </w:r>
      <w:r w:rsidR="006442F0" w:rsidRPr="001B4910">
        <w:rPr>
          <w:rFonts w:ascii="Arial" w:hAnsi="Arial" w:cs="Arial"/>
        </w:rPr>
        <w:t>d</w:t>
      </w:r>
      <w:r w:rsidR="00404F30" w:rsidRPr="001B4910">
        <w:rPr>
          <w:rFonts w:ascii="Arial" w:hAnsi="Arial" w:cs="Arial"/>
        </w:rPr>
        <w:t xml:space="preserve"> </w:t>
      </w:r>
      <w:r w:rsidR="0087056F" w:rsidRPr="001B4910">
        <w:rPr>
          <w:rFonts w:ascii="Arial" w:hAnsi="Arial" w:cs="Arial"/>
        </w:rPr>
        <w:t>the same</w:t>
      </w:r>
      <w:r w:rsidR="00404F30" w:rsidRPr="001B4910">
        <w:rPr>
          <w:rFonts w:ascii="Arial" w:hAnsi="Arial" w:cs="Arial"/>
        </w:rPr>
        <w:t xml:space="preserve"> size distributions of Pacific cod</w:t>
      </w:r>
      <w:r w:rsidR="0087056F" w:rsidRPr="001B4910">
        <w:rPr>
          <w:rFonts w:ascii="Arial" w:hAnsi="Arial" w:cs="Arial"/>
        </w:rPr>
        <w:t xml:space="preserve"> when</w:t>
      </w:r>
      <w:r w:rsidR="00E32D66">
        <w:rPr>
          <w:rFonts w:ascii="Arial" w:hAnsi="Arial" w:cs="Arial"/>
        </w:rPr>
        <w:t xml:space="preserve"> accounting for Pacific cod maturity and </w:t>
      </w:r>
      <w:r w:rsidR="001F4959">
        <w:rPr>
          <w:rFonts w:ascii="Arial" w:hAnsi="Arial" w:cs="Arial"/>
        </w:rPr>
        <w:lastRenderedPageBreak/>
        <w:t>removing small fish from the analysis which the bottom-trawl fishery trawls were designed to avoid</w:t>
      </w:r>
      <w:r w:rsidR="00E32D66">
        <w:rPr>
          <w:rFonts w:ascii="Arial" w:hAnsi="Arial" w:cs="Arial"/>
        </w:rPr>
        <w:t>,</w:t>
      </w:r>
      <w:r w:rsidR="0087056F" w:rsidRPr="001B4910">
        <w:rPr>
          <w:rFonts w:ascii="Arial" w:hAnsi="Arial" w:cs="Arial"/>
        </w:rPr>
        <w:t xml:space="preserve"> </w:t>
      </w:r>
      <w:r w:rsidR="00F53C23" w:rsidRPr="001B4910">
        <w:rPr>
          <w:rFonts w:ascii="Arial" w:hAnsi="Arial" w:cs="Arial"/>
        </w:rPr>
        <w:t xml:space="preserve">however, this </w:t>
      </w:r>
      <w:r w:rsidR="00653A1D" w:rsidRPr="001B4910">
        <w:rPr>
          <w:rFonts w:ascii="Arial" w:hAnsi="Arial" w:cs="Arial"/>
        </w:rPr>
        <w:t>was not the result in</w:t>
      </w:r>
      <w:r w:rsidR="00F53C23" w:rsidRPr="001B4910">
        <w:rPr>
          <w:rFonts w:ascii="Arial" w:hAnsi="Arial" w:cs="Arial"/>
        </w:rPr>
        <w:t xml:space="preserve"> the Aleutian Islands. </w:t>
      </w:r>
      <w:r w:rsidR="00FE0B80" w:rsidRPr="001B4910">
        <w:rPr>
          <w:rFonts w:ascii="Arial" w:hAnsi="Arial" w:cs="Arial"/>
        </w:rPr>
        <w:t>Because our study could align those differences in size distributions between the bottom-trawl fishery and NMFS survey when accounting for spatiotemporal overlap</w:t>
      </w:r>
      <w:r w:rsidR="00301DF3" w:rsidRPr="001B4910">
        <w:rPr>
          <w:rFonts w:ascii="Arial" w:hAnsi="Arial" w:cs="Arial"/>
        </w:rPr>
        <w:t xml:space="preserve"> in the Eastern Bering Sea</w:t>
      </w:r>
      <w:r w:rsidR="00AE1D48" w:rsidRPr="001B4910">
        <w:rPr>
          <w:rFonts w:ascii="Arial" w:hAnsi="Arial" w:cs="Arial"/>
        </w:rPr>
        <w:t xml:space="preserve">, our results adds </w:t>
      </w:r>
      <w:r w:rsidR="00FE0B80" w:rsidRPr="001B4910">
        <w:rPr>
          <w:rFonts w:ascii="Arial" w:hAnsi="Arial" w:cs="Arial"/>
        </w:rPr>
        <w:t xml:space="preserve">to the existing body of evidence that the NMFS survey </w:t>
      </w:r>
      <w:r w:rsidR="00E32D66">
        <w:rPr>
          <w:rFonts w:ascii="Arial" w:hAnsi="Arial" w:cs="Arial"/>
        </w:rPr>
        <w:t xml:space="preserve">likely </w:t>
      </w:r>
      <w:r w:rsidR="00FE0B80" w:rsidRPr="001B4910">
        <w:rPr>
          <w:rFonts w:ascii="Arial" w:hAnsi="Arial" w:cs="Arial"/>
        </w:rPr>
        <w:t xml:space="preserve">represents the summer </w:t>
      </w:r>
      <w:r w:rsidR="00301DF3" w:rsidRPr="001B4910">
        <w:rPr>
          <w:rFonts w:ascii="Arial" w:hAnsi="Arial" w:cs="Arial"/>
        </w:rPr>
        <w:t>distribution</w:t>
      </w:r>
      <w:r w:rsidR="00E32D66">
        <w:rPr>
          <w:rFonts w:ascii="Arial" w:hAnsi="Arial" w:cs="Arial"/>
        </w:rPr>
        <w:t xml:space="preserve"> of Pacific cod. </w:t>
      </w:r>
      <w:r w:rsidR="00301DF3" w:rsidRPr="001B4910">
        <w:rPr>
          <w:rFonts w:ascii="Arial" w:hAnsi="Arial" w:cs="Arial"/>
        </w:rPr>
        <w:t xml:space="preserve">In addition, the NMFS survey is designed to sample across the </w:t>
      </w:r>
      <w:r w:rsidR="00AE1D48" w:rsidRPr="001B4910">
        <w:rPr>
          <w:rFonts w:ascii="Arial" w:hAnsi="Arial" w:cs="Arial"/>
        </w:rPr>
        <w:t xml:space="preserve">range </w:t>
      </w:r>
      <w:r w:rsidR="00301DF3" w:rsidRPr="001B4910">
        <w:rPr>
          <w:rFonts w:ascii="Arial" w:hAnsi="Arial" w:cs="Arial"/>
        </w:rPr>
        <w:t xml:space="preserve">of fish sizes, and we did not </w:t>
      </w:r>
      <w:r w:rsidR="00AE1D48" w:rsidRPr="001B4910">
        <w:rPr>
          <w:rFonts w:ascii="Arial" w:hAnsi="Arial" w:cs="Arial"/>
        </w:rPr>
        <w:t xml:space="preserve">observe </w:t>
      </w:r>
      <w:r w:rsidR="00301DF3" w:rsidRPr="001B4910">
        <w:rPr>
          <w:rFonts w:ascii="Arial" w:hAnsi="Arial" w:cs="Arial"/>
        </w:rPr>
        <w:t>an upper size ra</w:t>
      </w:r>
      <w:r w:rsidR="00AE1D48" w:rsidRPr="001B4910">
        <w:rPr>
          <w:rFonts w:ascii="Arial" w:hAnsi="Arial" w:cs="Arial"/>
        </w:rPr>
        <w:t>nge of Pacific cod in the</w:t>
      </w:r>
      <w:r w:rsidR="00301DF3" w:rsidRPr="001B4910">
        <w:rPr>
          <w:rFonts w:ascii="Arial" w:hAnsi="Arial" w:cs="Arial"/>
        </w:rPr>
        <w:t xml:space="preserve"> b</w:t>
      </w:r>
      <w:r w:rsidR="00660918" w:rsidRPr="001B4910">
        <w:rPr>
          <w:rFonts w:ascii="Arial" w:hAnsi="Arial" w:cs="Arial"/>
        </w:rPr>
        <w:t>ottom-trawl fishery that wasn't observed in the NMFS survey</w:t>
      </w:r>
      <w:r w:rsidR="0087056F" w:rsidRPr="001B4910">
        <w:rPr>
          <w:rFonts w:ascii="Arial" w:hAnsi="Arial" w:cs="Arial"/>
        </w:rPr>
        <w:t>, in both the Aleutian Islands and Eastern Bering Sea</w:t>
      </w:r>
      <w:r w:rsidR="00301DF3" w:rsidRPr="001B4910">
        <w:rPr>
          <w:rFonts w:ascii="Arial" w:hAnsi="Arial" w:cs="Arial"/>
        </w:rPr>
        <w:t xml:space="preserve">. </w:t>
      </w:r>
      <w:r w:rsidR="007D27FC" w:rsidRPr="001B4910">
        <w:rPr>
          <w:rFonts w:ascii="Arial" w:hAnsi="Arial" w:cs="Arial"/>
        </w:rPr>
        <w:t>O</w:t>
      </w:r>
      <w:r w:rsidR="0087056F" w:rsidRPr="001B4910">
        <w:rPr>
          <w:rFonts w:ascii="Arial" w:hAnsi="Arial" w:cs="Arial"/>
        </w:rPr>
        <w:t xml:space="preserve">ur observations do </w:t>
      </w:r>
      <w:r w:rsidR="001F4959">
        <w:rPr>
          <w:rFonts w:ascii="Arial" w:hAnsi="Arial" w:cs="Arial"/>
        </w:rPr>
        <w:t xml:space="preserve">indicate </w:t>
      </w:r>
      <w:r w:rsidR="007D27FC" w:rsidRPr="001B4910">
        <w:rPr>
          <w:rFonts w:ascii="Arial" w:hAnsi="Arial" w:cs="Arial"/>
        </w:rPr>
        <w:t>the fact that the NMFS survey is catching immature fish at a much higher rat</w:t>
      </w:r>
      <w:r w:rsidR="001F4959">
        <w:rPr>
          <w:rFonts w:ascii="Arial" w:hAnsi="Arial" w:cs="Arial"/>
        </w:rPr>
        <w:t>e than the bottom-trawl fishery.</w:t>
      </w:r>
      <w:r w:rsidR="007D27FC" w:rsidRPr="001B4910">
        <w:rPr>
          <w:rFonts w:ascii="Arial" w:hAnsi="Arial" w:cs="Arial"/>
        </w:rPr>
        <w:t xml:space="preserve"> </w:t>
      </w:r>
      <w:r w:rsidR="001F4959">
        <w:rPr>
          <w:rFonts w:ascii="Arial" w:hAnsi="Arial" w:cs="Arial"/>
        </w:rPr>
        <w:t>W</w:t>
      </w:r>
      <w:r w:rsidR="007D27FC" w:rsidRPr="001B4910">
        <w:rPr>
          <w:rFonts w:ascii="Arial" w:hAnsi="Arial" w:cs="Arial"/>
        </w:rPr>
        <w:t xml:space="preserve">hen equalizing space, </w:t>
      </w:r>
      <w:r w:rsidR="001F4959">
        <w:rPr>
          <w:rFonts w:ascii="Arial" w:hAnsi="Arial" w:cs="Arial"/>
        </w:rPr>
        <w:t xml:space="preserve">and </w:t>
      </w:r>
      <w:r w:rsidR="007D27FC" w:rsidRPr="001B4910">
        <w:rPr>
          <w:rFonts w:ascii="Arial" w:hAnsi="Arial" w:cs="Arial"/>
        </w:rPr>
        <w:t>time</w:t>
      </w:r>
      <w:r w:rsidR="001F4959">
        <w:rPr>
          <w:rFonts w:ascii="Arial" w:hAnsi="Arial" w:cs="Arial"/>
        </w:rPr>
        <w:t>,</w:t>
      </w:r>
      <w:r w:rsidR="007D27FC" w:rsidRPr="001B4910">
        <w:rPr>
          <w:rFonts w:ascii="Arial" w:hAnsi="Arial" w:cs="Arial"/>
        </w:rPr>
        <w:t xml:space="preserve"> </w:t>
      </w:r>
      <w:r w:rsidR="001F4959">
        <w:rPr>
          <w:rFonts w:ascii="Arial" w:hAnsi="Arial" w:cs="Arial"/>
        </w:rPr>
        <w:t>and eliminating small fish from the analysis</w:t>
      </w:r>
      <w:r w:rsidR="0051399B">
        <w:rPr>
          <w:rFonts w:ascii="Arial" w:hAnsi="Arial" w:cs="Arial"/>
        </w:rPr>
        <w:t xml:space="preserve"> which the bottom-trawl fishery trawls are designed to avoid</w:t>
      </w:r>
      <w:r w:rsidR="001F4959">
        <w:rPr>
          <w:rFonts w:ascii="Arial" w:hAnsi="Arial" w:cs="Arial"/>
        </w:rPr>
        <w:t xml:space="preserve">, </w:t>
      </w:r>
      <w:r w:rsidR="007D27FC" w:rsidRPr="001B4910">
        <w:rPr>
          <w:rFonts w:ascii="Arial" w:hAnsi="Arial" w:cs="Arial"/>
        </w:rPr>
        <w:t xml:space="preserve">it appears that there is little or no NMFS gear selectivity </w:t>
      </w:r>
      <w:r w:rsidR="001F4959">
        <w:rPr>
          <w:rFonts w:ascii="Arial" w:hAnsi="Arial" w:cs="Arial"/>
        </w:rPr>
        <w:t>for mature Pacific cod ≥ 45 cm. G</w:t>
      </w:r>
      <w:r w:rsidR="007D27FC" w:rsidRPr="001B4910">
        <w:rPr>
          <w:rFonts w:ascii="Arial" w:hAnsi="Arial" w:cs="Arial"/>
        </w:rPr>
        <w:t xml:space="preserve">ear selectivity differences </w:t>
      </w:r>
      <w:r w:rsidR="001F4959">
        <w:rPr>
          <w:rFonts w:ascii="Arial" w:hAnsi="Arial" w:cs="Arial"/>
        </w:rPr>
        <w:t xml:space="preserve">do </w:t>
      </w:r>
      <w:r w:rsidR="007D27FC" w:rsidRPr="001B4910">
        <w:rPr>
          <w:rFonts w:ascii="Arial" w:hAnsi="Arial" w:cs="Arial"/>
        </w:rPr>
        <w:t xml:space="preserve">occur on the small end of the size spectrum for Pacific cod (i.e., the bottom-trawl fishery cannot capture Pacific cod less than 40 cm).   </w:t>
      </w:r>
    </w:p>
    <w:p w14:paraId="02F81BA8" w14:textId="4EA8C4C7" w:rsidR="00BC0AFE" w:rsidRPr="001B4910" w:rsidRDefault="00A36F15" w:rsidP="00660918">
      <w:pPr>
        <w:spacing w:after="0" w:line="360" w:lineRule="auto"/>
        <w:ind w:firstLine="720"/>
        <w:rPr>
          <w:rFonts w:ascii="Arial" w:hAnsi="Arial" w:cs="Arial"/>
        </w:rPr>
      </w:pPr>
      <w:r w:rsidRPr="001B4910">
        <w:rPr>
          <w:rFonts w:ascii="Arial" w:hAnsi="Arial" w:cs="Arial"/>
        </w:rPr>
        <w:t xml:space="preserve">The </w:t>
      </w:r>
      <w:r w:rsidR="00301DF3" w:rsidRPr="001B4910">
        <w:rPr>
          <w:rFonts w:ascii="Arial" w:hAnsi="Arial" w:cs="Arial"/>
        </w:rPr>
        <w:t>bottom-trawl fishery and NMFS s</w:t>
      </w:r>
      <w:r w:rsidRPr="001B4910">
        <w:rPr>
          <w:rFonts w:ascii="Arial" w:hAnsi="Arial" w:cs="Arial"/>
        </w:rPr>
        <w:t>urvey Pacific cod length distributions in the Aleutian Islands remain significantly different</w:t>
      </w:r>
      <w:r w:rsidR="00301DF3" w:rsidRPr="001B4910">
        <w:rPr>
          <w:rFonts w:ascii="Arial" w:hAnsi="Arial" w:cs="Arial"/>
        </w:rPr>
        <w:t xml:space="preserve"> </w:t>
      </w:r>
      <w:r w:rsidR="0051399B">
        <w:rPr>
          <w:rFonts w:ascii="Arial" w:hAnsi="Arial" w:cs="Arial"/>
        </w:rPr>
        <w:t>and</w:t>
      </w:r>
      <w:r w:rsidR="00301DF3" w:rsidRPr="001B4910">
        <w:rPr>
          <w:rFonts w:ascii="Arial" w:hAnsi="Arial" w:cs="Arial"/>
        </w:rPr>
        <w:t xml:space="preserve"> </w:t>
      </w:r>
      <w:r w:rsidRPr="001B4910">
        <w:rPr>
          <w:rFonts w:ascii="Arial" w:hAnsi="Arial" w:cs="Arial"/>
        </w:rPr>
        <w:t xml:space="preserve">the </w:t>
      </w:r>
      <w:r w:rsidR="00301DF3" w:rsidRPr="001B4910">
        <w:rPr>
          <w:rFonts w:ascii="Arial" w:hAnsi="Arial" w:cs="Arial"/>
        </w:rPr>
        <w:t>bottom-trawl fishery captures</w:t>
      </w:r>
      <w:r w:rsidRPr="001B4910">
        <w:rPr>
          <w:rFonts w:ascii="Arial" w:hAnsi="Arial" w:cs="Arial"/>
        </w:rPr>
        <w:t xml:space="preserve"> larger Pacific cod </w:t>
      </w:r>
      <w:r w:rsidR="00301DF3" w:rsidRPr="001B4910">
        <w:rPr>
          <w:rFonts w:ascii="Arial" w:hAnsi="Arial" w:cs="Arial"/>
        </w:rPr>
        <w:t>regardless of the fact that</w:t>
      </w:r>
      <w:r w:rsidRPr="001B4910">
        <w:rPr>
          <w:rFonts w:ascii="Arial" w:hAnsi="Arial" w:cs="Arial"/>
        </w:rPr>
        <w:t xml:space="preserve"> only mature fish</w:t>
      </w:r>
      <w:r w:rsidR="00660918" w:rsidRPr="001B4910">
        <w:rPr>
          <w:rFonts w:ascii="Arial" w:hAnsi="Arial" w:cs="Arial"/>
        </w:rPr>
        <w:t>,</w:t>
      </w:r>
      <w:r w:rsidR="00301DF3" w:rsidRPr="001B4910">
        <w:rPr>
          <w:rFonts w:ascii="Arial" w:hAnsi="Arial" w:cs="Arial"/>
        </w:rPr>
        <w:t xml:space="preserve"> ≥ 45 cm</w:t>
      </w:r>
      <w:r w:rsidR="00660918" w:rsidRPr="001B4910">
        <w:rPr>
          <w:rFonts w:ascii="Arial" w:hAnsi="Arial" w:cs="Arial"/>
        </w:rPr>
        <w:t xml:space="preserve">, </w:t>
      </w:r>
      <w:r w:rsidRPr="001B4910">
        <w:rPr>
          <w:rFonts w:ascii="Arial" w:hAnsi="Arial" w:cs="Arial"/>
        </w:rPr>
        <w:t xml:space="preserve">are considered. We speculate several </w:t>
      </w:r>
      <w:r w:rsidR="002C0C82" w:rsidRPr="001B4910">
        <w:rPr>
          <w:rFonts w:ascii="Arial" w:hAnsi="Arial" w:cs="Arial"/>
        </w:rPr>
        <w:t xml:space="preserve">spatial and temporal </w:t>
      </w:r>
      <w:r w:rsidRPr="001B4910">
        <w:rPr>
          <w:rFonts w:ascii="Arial" w:hAnsi="Arial" w:cs="Arial"/>
        </w:rPr>
        <w:t xml:space="preserve">reasons for this result. </w:t>
      </w:r>
      <w:r w:rsidR="00BC0AFE" w:rsidRPr="001B4910">
        <w:rPr>
          <w:rFonts w:ascii="Arial" w:hAnsi="Arial" w:cs="Arial"/>
        </w:rPr>
        <w:t>When examining the NMFS survey eff</w:t>
      </w:r>
      <w:r w:rsidR="00660918" w:rsidRPr="001B4910">
        <w:rPr>
          <w:rFonts w:ascii="Arial" w:hAnsi="Arial" w:cs="Arial"/>
        </w:rPr>
        <w:t xml:space="preserve">ort across the Aleutian Islands, </w:t>
      </w:r>
      <w:r w:rsidR="0087056F" w:rsidRPr="001B4910">
        <w:rPr>
          <w:rFonts w:ascii="Arial" w:hAnsi="Arial" w:cs="Arial"/>
        </w:rPr>
        <w:t xml:space="preserve">the number </w:t>
      </w:r>
      <w:r w:rsidR="00BC0AFE" w:rsidRPr="001B4910">
        <w:rPr>
          <w:rFonts w:ascii="Arial" w:hAnsi="Arial" w:cs="Arial"/>
        </w:rPr>
        <w:t xml:space="preserve">of grid cells that the NMFS survey has visited is comprehensive, which includes sampling of areas the bottom-trawl fishery </w:t>
      </w:r>
      <w:r w:rsidR="0087056F" w:rsidRPr="001B4910">
        <w:rPr>
          <w:rFonts w:ascii="Arial" w:hAnsi="Arial" w:cs="Arial"/>
        </w:rPr>
        <w:t>may not</w:t>
      </w:r>
      <w:r w:rsidR="00BC0AFE" w:rsidRPr="001B4910">
        <w:rPr>
          <w:rFonts w:ascii="Arial" w:hAnsi="Arial" w:cs="Arial"/>
        </w:rPr>
        <w:t xml:space="preserve"> fish (i.e., no large cod) and those size classes that are not observed in the bottom-trawl fishery data (i.e., small cod)</w:t>
      </w:r>
      <w:r w:rsidR="00660918" w:rsidRPr="001B4910">
        <w:rPr>
          <w:rFonts w:ascii="Arial" w:hAnsi="Arial" w:cs="Arial"/>
        </w:rPr>
        <w:t xml:space="preserve"> (Figure 2a-c). </w:t>
      </w:r>
      <w:r w:rsidR="00BC0AFE" w:rsidRPr="001B4910">
        <w:rPr>
          <w:rFonts w:ascii="Arial" w:hAnsi="Arial" w:cs="Arial"/>
        </w:rPr>
        <w:t>Bottom-trawl fishery length measurements for Pacific cod in the Aleutian Isla</w:t>
      </w:r>
      <w:r w:rsidR="0051399B">
        <w:rPr>
          <w:rFonts w:ascii="Arial" w:hAnsi="Arial" w:cs="Arial"/>
        </w:rPr>
        <w:t>nds during the summer months were</w:t>
      </w:r>
      <w:r w:rsidR="00BC0AFE" w:rsidRPr="001B4910">
        <w:rPr>
          <w:rFonts w:ascii="Arial" w:hAnsi="Arial" w:cs="Arial"/>
        </w:rPr>
        <w:t xml:space="preserve"> sparse. Those patterns in the length distribution mismatch between the bottom-trawl fishery and NMFS survey </w:t>
      </w:r>
      <w:r w:rsidR="00660918" w:rsidRPr="001B4910">
        <w:rPr>
          <w:rFonts w:ascii="Arial" w:hAnsi="Arial" w:cs="Arial"/>
        </w:rPr>
        <w:t xml:space="preserve">noted in the Pacific cod stock assessment </w:t>
      </w:r>
      <w:r w:rsidR="00BC0AFE" w:rsidRPr="001B4910">
        <w:rPr>
          <w:rFonts w:ascii="Arial" w:hAnsi="Arial" w:cs="Arial"/>
        </w:rPr>
        <w:t>are likely exacerbated by little to no temporal overlap in data across the Aleutian Islands</w:t>
      </w:r>
      <w:r w:rsidR="0051399B">
        <w:rPr>
          <w:rFonts w:ascii="Arial" w:hAnsi="Arial" w:cs="Arial"/>
        </w:rPr>
        <w:t xml:space="preserve"> (Spies et al., 2020)</w:t>
      </w:r>
      <w:r w:rsidR="00BC0AFE" w:rsidRPr="001B4910">
        <w:rPr>
          <w:rFonts w:ascii="Arial" w:hAnsi="Arial" w:cs="Arial"/>
        </w:rPr>
        <w:t xml:space="preserve">. </w:t>
      </w:r>
      <w:r w:rsidR="0087056F" w:rsidRPr="001B4910">
        <w:rPr>
          <w:rFonts w:ascii="Arial" w:hAnsi="Arial" w:cs="Arial"/>
        </w:rPr>
        <w:t>This</w:t>
      </w:r>
      <w:r w:rsidR="00BC0AFE" w:rsidRPr="001B4910">
        <w:rPr>
          <w:rFonts w:ascii="Arial" w:hAnsi="Arial" w:cs="Arial"/>
        </w:rPr>
        <w:t xml:space="preserve"> lack of data in the summer months likely reflects bottom-trawl fishing behavior that primarily targets spawning aggregations </w:t>
      </w:r>
      <w:r w:rsidR="00660918" w:rsidRPr="001B4910">
        <w:rPr>
          <w:rFonts w:ascii="Arial" w:hAnsi="Arial" w:cs="Arial"/>
        </w:rPr>
        <w:t xml:space="preserve">in the preceding winter months when </w:t>
      </w:r>
      <w:r w:rsidR="0087056F" w:rsidRPr="001B4910">
        <w:rPr>
          <w:rFonts w:ascii="Arial" w:hAnsi="Arial" w:cs="Arial"/>
        </w:rPr>
        <w:t>the fishery</w:t>
      </w:r>
      <w:r w:rsidR="00BC0AFE" w:rsidRPr="001B4910">
        <w:rPr>
          <w:rFonts w:ascii="Arial" w:hAnsi="Arial" w:cs="Arial"/>
        </w:rPr>
        <w:t xml:space="preserve"> ta</w:t>
      </w:r>
      <w:r w:rsidR="00660918" w:rsidRPr="001B4910">
        <w:rPr>
          <w:rFonts w:ascii="Arial" w:hAnsi="Arial" w:cs="Arial"/>
        </w:rPr>
        <w:t xml:space="preserve">rgets large, </w:t>
      </w:r>
      <w:r w:rsidR="0087056F" w:rsidRPr="001B4910">
        <w:rPr>
          <w:rFonts w:ascii="Arial" w:hAnsi="Arial" w:cs="Arial"/>
        </w:rPr>
        <w:t xml:space="preserve">spawning </w:t>
      </w:r>
      <w:r w:rsidR="00660918" w:rsidRPr="001B4910">
        <w:rPr>
          <w:rFonts w:ascii="Arial" w:hAnsi="Arial" w:cs="Arial"/>
        </w:rPr>
        <w:t>Pacific cod. R</w:t>
      </w:r>
      <w:r w:rsidR="00BC0AFE" w:rsidRPr="001B4910">
        <w:rPr>
          <w:rFonts w:ascii="Arial" w:hAnsi="Arial" w:cs="Arial"/>
        </w:rPr>
        <w:t xml:space="preserve">econciling these length distribution mismatches observed in the Aleutian Islands may not be feasible. </w:t>
      </w:r>
    </w:p>
    <w:p w14:paraId="78EFA4BC" w14:textId="6AE647C5" w:rsidR="007D27FC" w:rsidRPr="001B4910" w:rsidRDefault="00A36F15" w:rsidP="00660918">
      <w:pPr>
        <w:spacing w:after="0" w:line="360" w:lineRule="auto"/>
        <w:ind w:firstLine="720"/>
        <w:rPr>
          <w:rFonts w:ascii="Arial" w:hAnsi="Arial" w:cs="Arial"/>
        </w:rPr>
      </w:pPr>
      <w:r w:rsidRPr="001B4910">
        <w:rPr>
          <w:rFonts w:ascii="Arial" w:hAnsi="Arial" w:cs="Arial"/>
        </w:rPr>
        <w:t xml:space="preserve">The </w:t>
      </w:r>
      <w:r w:rsidR="00301DF3" w:rsidRPr="001B4910">
        <w:rPr>
          <w:rFonts w:ascii="Arial" w:hAnsi="Arial" w:cs="Arial"/>
        </w:rPr>
        <w:t>Aleutian Islands are rugose and the bottom-trawl f</w:t>
      </w:r>
      <w:r w:rsidRPr="001B4910">
        <w:rPr>
          <w:rFonts w:ascii="Arial" w:hAnsi="Arial" w:cs="Arial"/>
        </w:rPr>
        <w:t xml:space="preserve">ishery </w:t>
      </w:r>
      <w:r w:rsidR="00301DF3" w:rsidRPr="001B4910">
        <w:rPr>
          <w:rFonts w:ascii="Arial" w:hAnsi="Arial" w:cs="Arial"/>
        </w:rPr>
        <w:t>can likely target fishing</w:t>
      </w:r>
      <w:r w:rsidRPr="001B4910">
        <w:rPr>
          <w:rFonts w:ascii="Arial" w:hAnsi="Arial" w:cs="Arial"/>
        </w:rPr>
        <w:t xml:space="preserve"> locations </w:t>
      </w:r>
      <w:r w:rsidR="00301DF3" w:rsidRPr="001B4910">
        <w:rPr>
          <w:rFonts w:ascii="Arial" w:hAnsi="Arial" w:cs="Arial"/>
        </w:rPr>
        <w:t>that the NMFS s</w:t>
      </w:r>
      <w:r w:rsidRPr="001B4910">
        <w:rPr>
          <w:rFonts w:ascii="Arial" w:hAnsi="Arial" w:cs="Arial"/>
        </w:rPr>
        <w:t xml:space="preserve">urvey may never </w:t>
      </w:r>
      <w:r w:rsidR="00301DF3" w:rsidRPr="001B4910">
        <w:rPr>
          <w:rFonts w:ascii="Arial" w:hAnsi="Arial" w:cs="Arial"/>
        </w:rPr>
        <w:t xml:space="preserve">be able to sample (i.e. rugosity can vary widely within a single grid cell). </w:t>
      </w:r>
      <w:r w:rsidR="00D20A5E" w:rsidRPr="001B4910">
        <w:rPr>
          <w:rFonts w:ascii="Arial" w:hAnsi="Arial" w:cs="Arial"/>
        </w:rPr>
        <w:t>The observed mismatch in the length distributions</w:t>
      </w:r>
      <w:r w:rsidR="0087056F" w:rsidRPr="001B4910">
        <w:rPr>
          <w:rFonts w:ascii="Arial" w:hAnsi="Arial" w:cs="Arial"/>
        </w:rPr>
        <w:t xml:space="preserve"> can also be due to the</w:t>
      </w:r>
      <w:r w:rsidR="00D20A5E" w:rsidRPr="001B4910">
        <w:rPr>
          <w:rFonts w:ascii="Arial" w:hAnsi="Arial" w:cs="Arial"/>
        </w:rPr>
        <w:t xml:space="preserve"> wide disparity in </w:t>
      </w:r>
      <w:r w:rsidR="00660918" w:rsidRPr="001B4910">
        <w:rPr>
          <w:rFonts w:ascii="Arial" w:hAnsi="Arial" w:cs="Arial"/>
        </w:rPr>
        <w:t xml:space="preserve">bottom fishing </w:t>
      </w:r>
      <w:r w:rsidR="00D20A5E" w:rsidRPr="001B4910">
        <w:rPr>
          <w:rFonts w:ascii="Arial" w:hAnsi="Arial" w:cs="Arial"/>
        </w:rPr>
        <w:t xml:space="preserve">gear types used in the Aleutian Islands compared to the Eastern Bering Sea, </w:t>
      </w:r>
      <w:r w:rsidR="00BC0AFE" w:rsidRPr="001B4910">
        <w:rPr>
          <w:rFonts w:ascii="Arial" w:hAnsi="Arial" w:cs="Arial"/>
        </w:rPr>
        <w:t>which is flat with almost no occurrence</w:t>
      </w:r>
      <w:r w:rsidR="00660918" w:rsidRPr="001B4910">
        <w:rPr>
          <w:rFonts w:ascii="Arial" w:hAnsi="Arial" w:cs="Arial"/>
        </w:rPr>
        <w:t xml:space="preserve"> of untrawlable habitat. In the </w:t>
      </w:r>
      <w:r w:rsidR="00660918" w:rsidRPr="001B4910">
        <w:rPr>
          <w:rFonts w:ascii="Arial" w:hAnsi="Arial" w:cs="Arial"/>
        </w:rPr>
        <w:lastRenderedPageBreak/>
        <w:t>Eastern Bering Sea, it is assumed that most of shelf and shelf break is</w:t>
      </w:r>
      <w:r w:rsidR="00404F30" w:rsidRPr="001B4910">
        <w:rPr>
          <w:rFonts w:ascii="Arial" w:hAnsi="Arial" w:cs="Arial"/>
        </w:rPr>
        <w:t xml:space="preserve"> available to both the bottom-trawl fishery and the NMFS survey; however, this cannot be as</w:t>
      </w:r>
      <w:r w:rsidR="00BC0AFE" w:rsidRPr="001B4910">
        <w:rPr>
          <w:rFonts w:ascii="Arial" w:hAnsi="Arial" w:cs="Arial"/>
        </w:rPr>
        <w:t xml:space="preserve">sumed for the Aleutians Islands. </w:t>
      </w:r>
      <w:r w:rsidR="00404F30" w:rsidRPr="001B4910">
        <w:rPr>
          <w:rFonts w:ascii="Arial" w:hAnsi="Arial" w:cs="Arial"/>
        </w:rPr>
        <w:t>Examining the Eastern Bering Sea Pacific cod length distributions, and comparing these to the Aleutian Island length distributions could be viewed as a control for the hypothesi</w:t>
      </w:r>
      <w:r w:rsidR="007D27FC" w:rsidRPr="001B4910">
        <w:rPr>
          <w:rFonts w:ascii="Arial" w:hAnsi="Arial" w:cs="Arial"/>
        </w:rPr>
        <w:t>s that untrawlable grounds and bottom-trawl fishing vs. NMFS s</w:t>
      </w:r>
      <w:r w:rsidR="00404F30" w:rsidRPr="001B4910">
        <w:rPr>
          <w:rFonts w:ascii="Arial" w:hAnsi="Arial" w:cs="Arial"/>
        </w:rPr>
        <w:t xml:space="preserve">urvey </w:t>
      </w:r>
      <w:r w:rsidR="007D27FC" w:rsidRPr="001B4910">
        <w:rPr>
          <w:rFonts w:ascii="Arial" w:hAnsi="Arial" w:cs="Arial"/>
        </w:rPr>
        <w:t>gear differences are</w:t>
      </w:r>
      <w:r w:rsidR="00404F30" w:rsidRPr="001B4910">
        <w:rPr>
          <w:rFonts w:ascii="Arial" w:hAnsi="Arial" w:cs="Arial"/>
        </w:rPr>
        <w:t xml:space="preserve"> a factor in the </w:t>
      </w:r>
      <w:r w:rsidR="007D27FC" w:rsidRPr="001B4910">
        <w:rPr>
          <w:rFonts w:ascii="Arial" w:hAnsi="Arial" w:cs="Arial"/>
        </w:rPr>
        <w:t xml:space="preserve">observed size range </w:t>
      </w:r>
      <w:r w:rsidR="00404F30" w:rsidRPr="001B4910">
        <w:rPr>
          <w:rFonts w:ascii="Arial" w:hAnsi="Arial" w:cs="Arial"/>
        </w:rPr>
        <w:t xml:space="preserve">discrepancy </w:t>
      </w:r>
      <w:r w:rsidR="007D27FC" w:rsidRPr="001B4910">
        <w:rPr>
          <w:rFonts w:ascii="Arial" w:hAnsi="Arial" w:cs="Arial"/>
        </w:rPr>
        <w:t>in Pacific cod length distributions in the Aleutian Islands</w:t>
      </w:r>
      <w:r w:rsidR="00404F30" w:rsidRPr="001B4910">
        <w:rPr>
          <w:rFonts w:ascii="Arial" w:hAnsi="Arial" w:cs="Arial"/>
        </w:rPr>
        <w:t xml:space="preserve">.  </w:t>
      </w:r>
    </w:p>
    <w:p w14:paraId="1DEBB6AE" w14:textId="330701DB" w:rsidR="00EA692D" w:rsidRPr="001B4910" w:rsidRDefault="002C60F9" w:rsidP="008B3295">
      <w:pPr>
        <w:spacing w:after="0" w:line="360" w:lineRule="auto"/>
        <w:ind w:firstLine="720"/>
        <w:rPr>
          <w:rFonts w:ascii="Arial" w:hAnsi="Arial" w:cs="Arial"/>
        </w:rPr>
      </w:pPr>
      <w:r w:rsidRPr="001B4910">
        <w:rPr>
          <w:rFonts w:ascii="Arial" w:hAnsi="Arial" w:cs="Arial"/>
        </w:rPr>
        <w:t xml:space="preserve">The </w:t>
      </w:r>
      <w:r w:rsidR="00EA692D" w:rsidRPr="001B4910">
        <w:rPr>
          <w:rFonts w:ascii="Arial" w:hAnsi="Arial" w:cs="Arial"/>
        </w:rPr>
        <w:t xml:space="preserve">indirect </w:t>
      </w:r>
      <w:r w:rsidRPr="001B4910">
        <w:rPr>
          <w:rFonts w:ascii="Arial" w:hAnsi="Arial" w:cs="Arial"/>
        </w:rPr>
        <w:t xml:space="preserve">comparison we make in this study between bottom-trawl fishing </w:t>
      </w:r>
      <w:r w:rsidR="00EA692D" w:rsidRPr="001B4910">
        <w:rPr>
          <w:rFonts w:ascii="Arial" w:hAnsi="Arial" w:cs="Arial"/>
        </w:rPr>
        <w:t xml:space="preserve">gear </w:t>
      </w:r>
      <w:r w:rsidRPr="001B4910">
        <w:rPr>
          <w:rFonts w:ascii="Arial" w:hAnsi="Arial" w:cs="Arial"/>
        </w:rPr>
        <w:t xml:space="preserve">and the NMFS survey </w:t>
      </w:r>
      <w:r w:rsidR="00EA692D" w:rsidRPr="001B4910">
        <w:rPr>
          <w:rFonts w:ascii="Arial" w:hAnsi="Arial" w:cs="Arial"/>
        </w:rPr>
        <w:t xml:space="preserve">gear </w:t>
      </w:r>
      <w:r w:rsidRPr="001B4910">
        <w:rPr>
          <w:rFonts w:ascii="Arial" w:hAnsi="Arial" w:cs="Arial"/>
        </w:rPr>
        <w:t xml:space="preserve">regarding Pacific cod does not directly account for the </w:t>
      </w:r>
      <w:r w:rsidR="00EA692D" w:rsidRPr="001B4910">
        <w:rPr>
          <w:rFonts w:ascii="Arial" w:hAnsi="Arial" w:cs="Arial"/>
        </w:rPr>
        <w:t>differences in gear types, however, it warrants further discussion.</w:t>
      </w:r>
      <w:r w:rsidRPr="001B4910">
        <w:rPr>
          <w:rFonts w:ascii="Arial" w:hAnsi="Arial" w:cs="Arial"/>
        </w:rPr>
        <w:t xml:space="preserve"> </w:t>
      </w:r>
      <w:r w:rsidR="00EA692D" w:rsidRPr="001B4910">
        <w:rPr>
          <w:rFonts w:ascii="Arial" w:hAnsi="Arial" w:cs="Arial"/>
        </w:rPr>
        <w:t>The</w:t>
      </w:r>
      <w:r w:rsidRPr="001B4910">
        <w:rPr>
          <w:rFonts w:ascii="Arial" w:hAnsi="Arial" w:cs="Arial"/>
        </w:rPr>
        <w:t xml:space="preserve"> efficiency of standardized trawl survey nets has been an area of debate and study since fisheries have been managed (</w:t>
      </w:r>
      <w:r w:rsidRPr="001B4910">
        <w:rPr>
          <w:rFonts w:ascii="Arial" w:hAnsi="Arial" w:cs="Arial"/>
          <w:highlight w:val="yellow"/>
        </w:rPr>
        <w:t>REFS</w:t>
      </w:r>
      <w:r w:rsidRPr="001B4910">
        <w:rPr>
          <w:rFonts w:ascii="Arial" w:hAnsi="Arial" w:cs="Arial"/>
        </w:rPr>
        <w:t xml:space="preserve">). </w:t>
      </w:r>
      <w:r w:rsidR="00EA692D" w:rsidRPr="001B4910">
        <w:rPr>
          <w:rFonts w:ascii="Arial" w:hAnsi="Arial" w:cs="Arial"/>
        </w:rPr>
        <w:t>T</w:t>
      </w:r>
      <w:r w:rsidRPr="001B4910">
        <w:rPr>
          <w:rFonts w:ascii="Arial" w:hAnsi="Arial" w:cs="Arial"/>
        </w:rPr>
        <w:t xml:space="preserve">rawl survey nets may capture a different size composition of a given species than exists in the true population. This can happen because of gear efficiency (e.g., how well the water column is sampled) and species availability to the survey gear, which varies both across, and within species (Kimura and Somerton, 2006; Walker et al., 2017). </w:t>
      </w:r>
      <w:r w:rsidR="00EA692D" w:rsidRPr="001B4910">
        <w:rPr>
          <w:rFonts w:ascii="Arial" w:hAnsi="Arial" w:cs="Arial"/>
        </w:rPr>
        <w:t>Moreover, all sampled</w:t>
      </w:r>
      <w:r w:rsidRPr="001B4910">
        <w:rPr>
          <w:rFonts w:ascii="Arial" w:hAnsi="Arial" w:cs="Arial"/>
        </w:rPr>
        <w:t xml:space="preserve"> species must be available to the gear within the same time a</w:t>
      </w:r>
      <w:r w:rsidR="00EA692D" w:rsidRPr="001B4910">
        <w:rPr>
          <w:rFonts w:ascii="Arial" w:hAnsi="Arial" w:cs="Arial"/>
        </w:rPr>
        <w:t>nd space as the survey operates, and we know this is not true, but can potentially be quantified or measured for a given species (</w:t>
      </w:r>
      <w:r w:rsidR="00EA692D" w:rsidRPr="001B4910">
        <w:rPr>
          <w:rFonts w:ascii="Arial" w:hAnsi="Arial" w:cs="Arial"/>
          <w:highlight w:val="yellow"/>
        </w:rPr>
        <w:t>REF</w:t>
      </w:r>
      <w:r w:rsidR="00EA692D" w:rsidRPr="001B4910">
        <w:rPr>
          <w:rFonts w:ascii="Arial" w:hAnsi="Arial" w:cs="Arial"/>
        </w:rPr>
        <w:t xml:space="preserve">). Weinberg et al. (2016) conducted a field study that specifically addressed the NMFS survey selectivity of Pacific cod. The study concluded that the size of Pacific cod captured by the NMFS survey net did not increase, </w:t>
      </w:r>
      <w:r w:rsidR="0051399B">
        <w:rPr>
          <w:rFonts w:ascii="Arial" w:hAnsi="Arial" w:cs="Arial"/>
        </w:rPr>
        <w:t>with</w:t>
      </w:r>
      <w:r w:rsidR="00EA692D" w:rsidRPr="001B4910">
        <w:rPr>
          <w:rFonts w:ascii="Arial" w:hAnsi="Arial" w:cs="Arial"/>
        </w:rPr>
        <w:t xml:space="preserve"> an increase in </w:t>
      </w:r>
      <w:r w:rsidR="0051399B">
        <w:rPr>
          <w:rFonts w:ascii="Arial" w:hAnsi="Arial" w:cs="Arial"/>
        </w:rPr>
        <w:t xml:space="preserve">either </w:t>
      </w:r>
      <w:r w:rsidR="00EA692D" w:rsidRPr="001B4910">
        <w:rPr>
          <w:rFonts w:ascii="Arial" w:hAnsi="Arial" w:cs="Arial"/>
        </w:rPr>
        <w:t xml:space="preserve">vessel towing speed (e.g., outswimming the net) </w:t>
      </w:r>
      <w:r w:rsidR="0051399B">
        <w:rPr>
          <w:rFonts w:ascii="Arial" w:hAnsi="Arial" w:cs="Arial"/>
        </w:rPr>
        <w:t>or</w:t>
      </w:r>
      <w:r w:rsidR="00EA692D" w:rsidRPr="001B4910">
        <w:rPr>
          <w:rFonts w:ascii="Arial" w:hAnsi="Arial" w:cs="Arial"/>
        </w:rPr>
        <w:t xml:space="preserve"> acoustic backscatter (e.g., escape above the net) (Weinberg et al., 201</w:t>
      </w:r>
      <w:r w:rsidR="0051399B">
        <w:rPr>
          <w:rFonts w:ascii="Arial" w:hAnsi="Arial" w:cs="Arial"/>
        </w:rPr>
        <w:t>6</w:t>
      </w:r>
      <w:r w:rsidR="00EA692D" w:rsidRPr="001B4910">
        <w:rPr>
          <w:rFonts w:ascii="Arial" w:hAnsi="Arial" w:cs="Arial"/>
        </w:rPr>
        <w:t xml:space="preserve">). </w:t>
      </w:r>
    </w:p>
    <w:p w14:paraId="3CDA5440" w14:textId="3CD23AAB" w:rsidR="008B3295" w:rsidRPr="001B4910" w:rsidRDefault="00EA692D" w:rsidP="00660918">
      <w:pPr>
        <w:spacing w:after="0" w:line="360" w:lineRule="auto"/>
        <w:ind w:firstLine="720"/>
        <w:rPr>
          <w:rFonts w:ascii="Arial" w:hAnsi="Arial" w:cs="Arial"/>
        </w:rPr>
      </w:pPr>
      <w:r w:rsidRPr="001B4910">
        <w:rPr>
          <w:rFonts w:ascii="Arial" w:hAnsi="Arial" w:cs="Arial"/>
        </w:rPr>
        <w:t>As we note with Pacific cod, a</w:t>
      </w:r>
      <w:r w:rsidR="002C60F9" w:rsidRPr="001B4910">
        <w:rPr>
          <w:rFonts w:ascii="Arial" w:hAnsi="Arial" w:cs="Arial"/>
        </w:rPr>
        <w:t xml:space="preserve"> species’ availability to the survey gear is important to measure, because marine fish species undergo shifting distributions that can both vary in time and space and can occur on multiple levels (Rouyer et al., 2011; Engelhard et al., 2014). </w:t>
      </w:r>
      <w:r w:rsidR="008B3295" w:rsidRPr="001B4910">
        <w:rPr>
          <w:rFonts w:ascii="Arial" w:hAnsi="Arial" w:cs="Arial"/>
        </w:rPr>
        <w:t xml:space="preserve">One example is the potential for vertical migrations where fish may not be at or near the bottom and therefore not available to the NMFS survey gear. As related to Pacific cod, when we examined bottom-trawl fishery data by the time of day captured during the summer months, we </w:t>
      </w:r>
      <w:r w:rsidR="00DD2207" w:rsidRPr="001B4910">
        <w:rPr>
          <w:rFonts w:ascii="Arial" w:hAnsi="Arial" w:cs="Arial"/>
        </w:rPr>
        <w:t>observed</w:t>
      </w:r>
      <w:r w:rsidR="008B3295" w:rsidRPr="001B4910">
        <w:rPr>
          <w:rFonts w:ascii="Arial" w:hAnsi="Arial" w:cs="Arial"/>
        </w:rPr>
        <w:t xml:space="preserve"> the median size of Pacific cod was consistent regardless of time of capture. If large Pacific cod were known to migrate into the water column during daylight hours to feed (i.e., not available to the NMFS survey gear)</w:t>
      </w:r>
      <w:r w:rsidR="00DD2207" w:rsidRPr="001B4910">
        <w:rPr>
          <w:rFonts w:ascii="Arial" w:hAnsi="Arial" w:cs="Arial"/>
        </w:rPr>
        <w:t>, we should observed</w:t>
      </w:r>
      <w:r w:rsidR="008B3295" w:rsidRPr="001B4910">
        <w:rPr>
          <w:rFonts w:ascii="Arial" w:hAnsi="Arial" w:cs="Arial"/>
        </w:rPr>
        <w:t xml:space="preserve"> a drop in the median size of capture </w:t>
      </w:r>
      <w:r w:rsidR="00DD2207" w:rsidRPr="001B4910">
        <w:rPr>
          <w:rFonts w:ascii="Arial" w:hAnsi="Arial" w:cs="Arial"/>
        </w:rPr>
        <w:t xml:space="preserve">in the bottom-trawl fishery data </w:t>
      </w:r>
      <w:r w:rsidR="008B3295" w:rsidRPr="001B4910">
        <w:rPr>
          <w:rFonts w:ascii="Arial" w:hAnsi="Arial" w:cs="Arial"/>
        </w:rPr>
        <w:t xml:space="preserve">during daylight hours. A study by Nichol et al. (2007), using archival tagged fish, estimated that between 47-91% (Eastern Bering sea and Aleutian Islands NMFS trawl gear, respectively) of Pacific cod were available to the NMFS survey net during daytime hours. Although these tagged Pacific cod showed an affinity to the bottom (&lt;10 m) during daylight hours, we can't say definitively that Pacific cod of any size do not exhibit some daytime vertical </w:t>
      </w:r>
      <w:r w:rsidR="008B3295" w:rsidRPr="001B4910">
        <w:rPr>
          <w:rFonts w:ascii="Arial" w:hAnsi="Arial" w:cs="Arial"/>
        </w:rPr>
        <w:lastRenderedPageBreak/>
        <w:t xml:space="preserve">migrations into the water column. </w:t>
      </w:r>
      <w:r w:rsidR="00CA197A" w:rsidRPr="001B4910">
        <w:rPr>
          <w:rFonts w:ascii="Arial" w:hAnsi="Arial" w:cs="Arial"/>
        </w:rPr>
        <w:t xml:space="preserve">The NMFS survey headrope heights measure 2.5 m in the Eastern Bering Sea (Nichol et al., 2007), and we can assume that unless a fish is hard on bottom, that some portions of the population will avoid capture by the NMFS survey; whether those portions of the Pacific cod population are significantly larger, remains to be examined. </w:t>
      </w:r>
    </w:p>
    <w:p w14:paraId="08D26E9A" w14:textId="6D4BD48B" w:rsidR="00A36F15" w:rsidRPr="001B4910" w:rsidRDefault="00606CFE" w:rsidP="00A36F15">
      <w:pPr>
        <w:pStyle w:val="Heading2"/>
        <w:rPr>
          <w:rFonts w:ascii="Arial" w:hAnsi="Arial" w:cs="Arial"/>
          <w:szCs w:val="22"/>
        </w:rPr>
      </w:pPr>
      <w:r w:rsidRPr="001B4910">
        <w:rPr>
          <w:rFonts w:ascii="Arial" w:hAnsi="Arial" w:cs="Arial"/>
          <w:szCs w:val="22"/>
        </w:rPr>
        <w:t>4.1</w:t>
      </w:r>
      <w:r w:rsidR="00A36F15" w:rsidRPr="001B4910">
        <w:rPr>
          <w:rFonts w:ascii="Arial" w:hAnsi="Arial" w:cs="Arial"/>
          <w:szCs w:val="22"/>
        </w:rPr>
        <w:t xml:space="preserve"> Management Implications</w:t>
      </w:r>
    </w:p>
    <w:p w14:paraId="0BE9C6F1" w14:textId="3620EA3A" w:rsidR="00A36F15" w:rsidRPr="001B4910" w:rsidRDefault="0030745A" w:rsidP="0030745A">
      <w:pPr>
        <w:spacing w:after="0" w:line="360" w:lineRule="auto"/>
        <w:rPr>
          <w:rFonts w:ascii="Arial" w:hAnsi="Arial" w:cs="Arial"/>
        </w:rPr>
      </w:pPr>
      <w:r w:rsidRPr="001B4910">
        <w:rPr>
          <w:rFonts w:ascii="Arial" w:hAnsi="Arial" w:cs="Arial"/>
        </w:rPr>
        <w:t xml:space="preserve">Seasonal migrations of Pacific cod will always confound the temporal aspect of comparing Pacific size distributions for both the Eastern Bering Sea and Aleutian Islands. However, addressing size disparities using simple metrics (e.g., examining data in the same time and space), can help inform fishery management models. </w:t>
      </w:r>
      <w:r w:rsidR="00A36F15" w:rsidRPr="001B4910">
        <w:rPr>
          <w:rFonts w:ascii="Arial" w:hAnsi="Arial" w:cs="Arial"/>
        </w:rPr>
        <w:t>Population-dynamic models can account for</w:t>
      </w:r>
      <w:r w:rsidRPr="001B4910">
        <w:rPr>
          <w:rFonts w:ascii="Arial" w:hAnsi="Arial" w:cs="Arial"/>
        </w:rPr>
        <w:t xml:space="preserve"> these differences in the NMFS s</w:t>
      </w:r>
      <w:r w:rsidR="00A36F15" w:rsidRPr="001B4910">
        <w:rPr>
          <w:rFonts w:ascii="Arial" w:hAnsi="Arial" w:cs="Arial"/>
        </w:rPr>
        <w:t xml:space="preserve">urvey and </w:t>
      </w:r>
      <w:r w:rsidRPr="001B4910">
        <w:rPr>
          <w:rFonts w:ascii="Arial" w:hAnsi="Arial" w:cs="Arial"/>
        </w:rPr>
        <w:t>fishery selectiv</w:t>
      </w:r>
      <w:r w:rsidR="00A36F15" w:rsidRPr="001B4910">
        <w:rPr>
          <w:rFonts w:ascii="Arial" w:hAnsi="Arial" w:cs="Arial"/>
        </w:rPr>
        <w:t>ity, as long as models are informed by sufficient data.</w:t>
      </w:r>
      <w:r w:rsidRPr="001B4910">
        <w:rPr>
          <w:rFonts w:ascii="Arial" w:hAnsi="Arial" w:cs="Arial"/>
        </w:rPr>
        <w:t xml:space="preserve"> Because the bottom-</w:t>
      </w:r>
      <w:r w:rsidR="00A36F15" w:rsidRPr="001B4910">
        <w:rPr>
          <w:rFonts w:ascii="Arial" w:hAnsi="Arial" w:cs="Arial"/>
        </w:rPr>
        <w:t>trawl fishery for Pacific cod primarily targets spawning aggregations in the winter months, care should be taken in management as they are considered among the most vulnerable fisheries (Hilborn et al. 2003; Tobin et al. 2013)</w:t>
      </w:r>
      <w:r w:rsidR="0087056F" w:rsidRPr="001B4910">
        <w:rPr>
          <w:rFonts w:ascii="Arial" w:hAnsi="Arial" w:cs="Arial"/>
        </w:rPr>
        <w:t xml:space="preserve">. </w:t>
      </w:r>
    </w:p>
    <w:p w14:paraId="2DDE4C0D" w14:textId="02972660" w:rsidR="00D05D47" w:rsidRPr="001B4910" w:rsidRDefault="00EB1759" w:rsidP="00EB1759">
      <w:pPr>
        <w:pStyle w:val="Heading1"/>
        <w:rPr>
          <w:rFonts w:ascii="Arial" w:hAnsi="Arial" w:cs="Arial"/>
          <w:szCs w:val="22"/>
        </w:rPr>
      </w:pPr>
      <w:r w:rsidRPr="001B4910">
        <w:rPr>
          <w:rFonts w:ascii="Arial" w:hAnsi="Arial" w:cs="Arial"/>
          <w:szCs w:val="22"/>
        </w:rPr>
        <w:t xml:space="preserve">5.0 </w:t>
      </w:r>
      <w:r w:rsidR="00FB2709" w:rsidRPr="001B4910">
        <w:rPr>
          <w:rFonts w:ascii="Arial" w:hAnsi="Arial" w:cs="Arial"/>
          <w:szCs w:val="22"/>
        </w:rPr>
        <w:t>Acknowledgments</w:t>
      </w:r>
    </w:p>
    <w:p w14:paraId="0568F40D" w14:textId="12166670" w:rsidR="00FB2709" w:rsidRPr="001B4910" w:rsidRDefault="009819BE" w:rsidP="00F1734B">
      <w:pPr>
        <w:spacing w:after="0" w:line="360" w:lineRule="auto"/>
        <w:rPr>
          <w:rFonts w:ascii="Arial" w:hAnsi="Arial" w:cs="Arial"/>
        </w:rPr>
      </w:pPr>
      <w:r>
        <w:rPr>
          <w:rFonts w:ascii="Arial" w:hAnsi="Arial" w:cs="Arial"/>
        </w:rPr>
        <w:t>This work was supported by the North Pacific Research Board (NPRB)</w:t>
      </w:r>
      <w:r w:rsidR="00E32D66">
        <w:rPr>
          <w:rFonts w:ascii="Arial" w:hAnsi="Arial" w:cs="Arial"/>
        </w:rPr>
        <w:t xml:space="preserve">, Anchorage, Alaska </w:t>
      </w:r>
      <w:r>
        <w:rPr>
          <w:rFonts w:ascii="Arial" w:hAnsi="Arial" w:cs="Arial"/>
        </w:rPr>
        <w:t>under grant number 1816</w:t>
      </w:r>
      <w:r w:rsidR="00E32D66">
        <w:rPr>
          <w:rFonts w:ascii="Arial" w:hAnsi="Arial" w:cs="Arial"/>
        </w:rPr>
        <w:t xml:space="preserve">, and the National Oceanic and Atmospheric Admonition's (NOAA) Alaska Fisheries Science Center (AFSC). We would like to thank all the survey crews from the Resource Assessment Conservation and Engineering (RACE) </w:t>
      </w:r>
      <w:r w:rsidR="00FB2709" w:rsidRPr="001B4910">
        <w:rPr>
          <w:rFonts w:ascii="Arial" w:hAnsi="Arial" w:cs="Arial"/>
        </w:rPr>
        <w:t>progr</w:t>
      </w:r>
      <w:r w:rsidR="00E32D66">
        <w:rPr>
          <w:rFonts w:ascii="Arial" w:hAnsi="Arial" w:cs="Arial"/>
        </w:rPr>
        <w:t>am for all the NMFS survey data collections and the North Pacific Fishery</w:t>
      </w:r>
      <w:r w:rsidR="00FB2709" w:rsidRPr="001B4910">
        <w:rPr>
          <w:rFonts w:ascii="Arial" w:hAnsi="Arial" w:cs="Arial"/>
        </w:rPr>
        <w:t xml:space="preserve"> </w:t>
      </w:r>
      <w:r w:rsidR="00E32D66">
        <w:rPr>
          <w:rFonts w:ascii="Arial" w:hAnsi="Arial" w:cs="Arial"/>
        </w:rPr>
        <w:t xml:space="preserve">Observers for the collection of data onboard fishing vessels. </w:t>
      </w:r>
      <w:r w:rsidR="00C80320">
        <w:rPr>
          <w:rFonts w:ascii="Arial" w:hAnsi="Arial" w:cs="Arial"/>
        </w:rPr>
        <w:t xml:space="preserve"> </w:t>
      </w:r>
    </w:p>
    <w:p w14:paraId="44185DD9" w14:textId="77777777" w:rsidR="005201F2" w:rsidRPr="001B4910" w:rsidRDefault="005201F2" w:rsidP="00F1734B">
      <w:pPr>
        <w:spacing w:after="0" w:line="360" w:lineRule="auto"/>
        <w:rPr>
          <w:rFonts w:ascii="Arial" w:hAnsi="Arial" w:cs="Arial"/>
        </w:rPr>
      </w:pPr>
    </w:p>
    <w:p w14:paraId="75D5207A" w14:textId="77777777" w:rsidR="005201F2" w:rsidRPr="001B4910" w:rsidRDefault="005201F2" w:rsidP="00F1734B">
      <w:pPr>
        <w:spacing w:line="360" w:lineRule="auto"/>
        <w:rPr>
          <w:rFonts w:ascii="Arial" w:hAnsi="Arial" w:cs="Arial"/>
        </w:rPr>
        <w:sectPr w:rsidR="005201F2" w:rsidRPr="001B4910" w:rsidSect="00321278">
          <w:pgSz w:w="12240" w:h="15840"/>
          <w:pgMar w:top="1440" w:right="1440" w:bottom="1440" w:left="1440" w:header="720" w:footer="720" w:gutter="0"/>
          <w:lnNumType w:countBy="1" w:restart="continuous"/>
          <w:cols w:space="720"/>
          <w:docGrid w:linePitch="360"/>
        </w:sectPr>
      </w:pPr>
    </w:p>
    <w:p w14:paraId="64DB1C6B" w14:textId="77777777" w:rsidR="00EB1759" w:rsidRPr="001B4910" w:rsidRDefault="00EB1759" w:rsidP="00EB1759">
      <w:pPr>
        <w:pStyle w:val="Heading1"/>
        <w:rPr>
          <w:rFonts w:ascii="Arial" w:hAnsi="Arial" w:cs="Arial"/>
          <w:szCs w:val="22"/>
        </w:rPr>
      </w:pPr>
      <w:r w:rsidRPr="001B4910">
        <w:rPr>
          <w:rFonts w:ascii="Arial" w:hAnsi="Arial" w:cs="Arial"/>
          <w:szCs w:val="22"/>
        </w:rPr>
        <w:lastRenderedPageBreak/>
        <w:t>6.0 References</w:t>
      </w:r>
    </w:p>
    <w:p w14:paraId="4CB56F63" w14:textId="5AF6FFD4" w:rsidR="002460D8" w:rsidRPr="001B4910" w:rsidRDefault="002460D8" w:rsidP="00CA1C98">
      <w:pPr>
        <w:spacing w:line="360" w:lineRule="auto"/>
        <w:ind w:left="720" w:hanging="720"/>
        <w:rPr>
          <w:rFonts w:ascii="Arial" w:hAnsi="Arial" w:cs="Arial"/>
        </w:rPr>
      </w:pPr>
    </w:p>
    <w:p w14:paraId="25788124" w14:textId="35C4C7A8" w:rsidR="00E8068B" w:rsidRPr="001B4910" w:rsidRDefault="00E8068B" w:rsidP="00E8068B">
      <w:pPr>
        <w:spacing w:line="240" w:lineRule="auto"/>
        <w:ind w:left="720" w:hanging="720"/>
        <w:rPr>
          <w:rFonts w:ascii="Arial" w:hAnsi="Arial" w:cs="Arial"/>
        </w:rPr>
      </w:pPr>
      <w:r w:rsidRPr="001B4910">
        <w:rPr>
          <w:rFonts w:ascii="Arial" w:hAnsi="Arial" w:cs="Arial"/>
        </w:rPr>
        <w:t>(AFSC) Alaska Fisheries Science Center, 2018. Observer sampling manual. Fisheries Monitoring and Analysis Division, North Pacific Groundfish Observer Program. AFSC, 7600 Sand Point Way N. E., Seattle, Washington.</w:t>
      </w:r>
    </w:p>
    <w:p w14:paraId="50C146CD" w14:textId="337187EE" w:rsidR="001E79DE" w:rsidRPr="001B4910" w:rsidRDefault="001E79DE" w:rsidP="00367A4B">
      <w:pPr>
        <w:spacing w:line="240" w:lineRule="auto"/>
        <w:ind w:left="720" w:hanging="720"/>
        <w:rPr>
          <w:rFonts w:ascii="Arial" w:hAnsi="Arial" w:cs="Arial"/>
        </w:rPr>
      </w:pPr>
      <w:r w:rsidRPr="001B4910">
        <w:rPr>
          <w:rFonts w:ascii="Arial" w:hAnsi="Arial" w:cs="Arial"/>
        </w:rPr>
        <w:t xml:space="preserve">Barbeaux, S. J., Hollowed, A. B., 2017. Ontogeny matters: Climate variability and effects on fish distribution in the eastern Bering Sea. Fish. Ocean. 27, 1-15. </w:t>
      </w:r>
      <w:hyperlink r:id="rId7" w:history="1">
        <w:r w:rsidR="000231AC" w:rsidRPr="001B4910">
          <w:rPr>
            <w:rStyle w:val="Hyperlink"/>
            <w:rFonts w:ascii="Arial" w:hAnsi="Arial" w:cs="Arial"/>
          </w:rPr>
          <w:t>https://doi.org/10.1111/fog.12229</w:t>
        </w:r>
      </w:hyperlink>
    </w:p>
    <w:p w14:paraId="40B5F877" w14:textId="201D3671" w:rsidR="00367A4B" w:rsidRPr="001B4910" w:rsidRDefault="000231AC" w:rsidP="00367A4B">
      <w:pPr>
        <w:spacing w:line="240" w:lineRule="auto"/>
        <w:ind w:left="720" w:hanging="720"/>
        <w:rPr>
          <w:rFonts w:ascii="Arial" w:hAnsi="Arial" w:cs="Arial"/>
        </w:rPr>
      </w:pPr>
      <w:r w:rsidRPr="001B4910">
        <w:rPr>
          <w:rFonts w:ascii="Arial" w:hAnsi="Arial" w:cs="Arial"/>
        </w:rPr>
        <w:t xml:space="preserve">Bryan, D. R., MdDermott, S. F., Nielsen, J. K., Fraser, D., Rand, K. M., </w:t>
      </w:r>
      <w:r w:rsidR="009C4893" w:rsidRPr="001B4910">
        <w:rPr>
          <w:rFonts w:ascii="Arial" w:hAnsi="Arial" w:cs="Arial"/>
        </w:rPr>
        <w:t>In Reviw</w:t>
      </w:r>
      <w:r w:rsidRPr="001B4910">
        <w:rPr>
          <w:rFonts w:ascii="Arial" w:hAnsi="Arial" w:cs="Arial"/>
        </w:rPr>
        <w:t>. Seasonal migratory patterns of Pacific cod (</w:t>
      </w:r>
      <w:r w:rsidRPr="001B4910">
        <w:rPr>
          <w:rFonts w:ascii="Arial" w:hAnsi="Arial" w:cs="Arial"/>
          <w:i/>
        </w:rPr>
        <w:t>Gadus microcephalus</w:t>
      </w:r>
      <w:r w:rsidRPr="001B4910">
        <w:rPr>
          <w:rFonts w:ascii="Arial" w:hAnsi="Arial" w:cs="Arial"/>
        </w:rPr>
        <w:t xml:space="preserve">) in the Aleutian Islands. </w:t>
      </w:r>
      <w:r w:rsidR="009C4893" w:rsidRPr="001B4910">
        <w:rPr>
          <w:rFonts w:ascii="Arial" w:hAnsi="Arial" w:cs="Arial"/>
          <w:shd w:val="clear" w:color="auto" w:fill="FFFF00"/>
        </w:rPr>
        <w:t>Anim. Biotelemetry.XXXX</w:t>
      </w:r>
    </w:p>
    <w:p w14:paraId="213B1286" w14:textId="22265E26" w:rsidR="00EB56D8" w:rsidRPr="001B4910" w:rsidRDefault="002460D8" w:rsidP="00EB56D8">
      <w:pPr>
        <w:ind w:left="720" w:hanging="720"/>
        <w:rPr>
          <w:rFonts w:ascii="Arial" w:hAnsi="Arial" w:cs="Arial"/>
        </w:rPr>
      </w:pPr>
      <w:r w:rsidRPr="001B4910">
        <w:rPr>
          <w:rFonts w:ascii="Arial" w:hAnsi="Arial" w:cs="Arial"/>
        </w:rPr>
        <w:t>Campana, S. E., Stefánsdóttir, R. B., Jakobsdóttir, K., Sólmundsson, J., 2020. Shifting fish distributions</w:t>
      </w:r>
      <w:r w:rsidR="00840CEF" w:rsidRPr="001B4910">
        <w:rPr>
          <w:rFonts w:ascii="Arial" w:hAnsi="Arial" w:cs="Arial"/>
        </w:rPr>
        <w:t xml:space="preserve"> in warming sub-Arctic oceans. Sci. Rep. 10, 16448. </w:t>
      </w:r>
      <w:hyperlink r:id="rId8" w:history="1">
        <w:r w:rsidR="00EB56D8" w:rsidRPr="001B4910">
          <w:rPr>
            <w:rStyle w:val="Hyperlink"/>
            <w:rFonts w:ascii="Arial" w:hAnsi="Arial" w:cs="Arial"/>
          </w:rPr>
          <w:t>https://doi.org/10.1038/s41598-020-73444-y</w:t>
        </w:r>
      </w:hyperlink>
    </w:p>
    <w:p w14:paraId="1512B548" w14:textId="09C13A97" w:rsidR="00EB56D8" w:rsidRPr="001B4910" w:rsidRDefault="00EB56D8" w:rsidP="00367A4B">
      <w:pPr>
        <w:ind w:left="720" w:hanging="720"/>
        <w:rPr>
          <w:rFonts w:ascii="Arial" w:hAnsi="Arial" w:cs="Arial"/>
        </w:rPr>
      </w:pPr>
      <w:r w:rsidRPr="001B4910">
        <w:rPr>
          <w:rFonts w:ascii="Arial" w:eastAsia="Times New Roman" w:hAnsi="Arial" w:cs="Arial"/>
          <w:color w:val="222222"/>
          <w:shd w:val="clear" w:color="auto" w:fill="FFFFFF"/>
        </w:rPr>
        <w:t>Drinan, D.P., Gruenthal, K.M., Canino, M.F., Lowry, D., Fisher, M.C. and Hauser, L., 2018. Population assignment and local adaptation along an isolation</w:t>
      </w:r>
      <w:r w:rsidRPr="001B4910">
        <w:rPr>
          <w:rFonts w:ascii="Cambria Math" w:eastAsia="Times New Roman" w:hAnsi="Cambria Math" w:cs="Cambria Math"/>
          <w:color w:val="222222"/>
          <w:shd w:val="clear" w:color="auto" w:fill="FFFFFF"/>
        </w:rPr>
        <w:t>‐</w:t>
      </w:r>
      <w:r w:rsidRPr="001B4910">
        <w:rPr>
          <w:rFonts w:ascii="Arial" w:eastAsia="Times New Roman" w:hAnsi="Arial" w:cs="Arial"/>
          <w:color w:val="222222"/>
          <w:shd w:val="clear" w:color="auto" w:fill="FFFFFF"/>
        </w:rPr>
        <w:t>by</w:t>
      </w:r>
      <w:r w:rsidRPr="001B4910">
        <w:rPr>
          <w:rFonts w:ascii="Cambria Math" w:eastAsia="Times New Roman" w:hAnsi="Cambria Math" w:cs="Cambria Math"/>
          <w:color w:val="222222"/>
          <w:shd w:val="clear" w:color="auto" w:fill="FFFFFF"/>
        </w:rPr>
        <w:t>‐</w:t>
      </w:r>
      <w:r w:rsidRPr="001B4910">
        <w:rPr>
          <w:rFonts w:ascii="Arial" w:eastAsia="Times New Roman" w:hAnsi="Arial" w:cs="Arial"/>
          <w:color w:val="222222"/>
          <w:shd w:val="clear" w:color="auto" w:fill="FFFFFF"/>
        </w:rPr>
        <w:t>distance gradient in Pacific cod (Gadus macrocephalus). </w:t>
      </w:r>
      <w:r w:rsidRPr="001B4910">
        <w:rPr>
          <w:rFonts w:ascii="Arial" w:eastAsia="Times New Roman" w:hAnsi="Arial" w:cs="Arial"/>
          <w:i/>
          <w:iCs/>
          <w:color w:val="222222"/>
          <w:shd w:val="clear" w:color="auto" w:fill="FFFFFF"/>
        </w:rPr>
        <w:t>Evolutionary applications</w:t>
      </w:r>
      <w:r w:rsidRPr="001B4910">
        <w:rPr>
          <w:rFonts w:ascii="Arial" w:eastAsia="Times New Roman" w:hAnsi="Arial" w:cs="Arial"/>
          <w:color w:val="222222"/>
          <w:shd w:val="clear" w:color="auto" w:fill="FFFFFF"/>
        </w:rPr>
        <w:t>, </w:t>
      </w:r>
      <w:r w:rsidRPr="001B4910">
        <w:rPr>
          <w:rFonts w:ascii="Arial" w:eastAsia="Times New Roman" w:hAnsi="Arial" w:cs="Arial"/>
          <w:i/>
          <w:iCs/>
          <w:color w:val="222222"/>
          <w:shd w:val="clear" w:color="auto" w:fill="FFFFFF"/>
        </w:rPr>
        <w:t>11</w:t>
      </w:r>
      <w:r w:rsidRPr="001B4910">
        <w:rPr>
          <w:rFonts w:ascii="Arial" w:eastAsia="Times New Roman" w:hAnsi="Arial" w:cs="Arial"/>
          <w:color w:val="222222"/>
          <w:shd w:val="clear" w:color="auto" w:fill="FFFFFF"/>
        </w:rPr>
        <w:t>(8), pp.1448-1464.</w:t>
      </w:r>
    </w:p>
    <w:p w14:paraId="3F4F5B6A" w14:textId="21CBD3DD" w:rsidR="00840CEF" w:rsidRPr="001B4910" w:rsidRDefault="00EC6A6A" w:rsidP="00CA1C98">
      <w:pPr>
        <w:ind w:left="720" w:hanging="720"/>
        <w:rPr>
          <w:rFonts w:ascii="Arial" w:hAnsi="Arial" w:cs="Arial"/>
        </w:rPr>
      </w:pPr>
      <w:r w:rsidRPr="001B4910">
        <w:rPr>
          <w:rFonts w:ascii="Arial" w:hAnsi="Arial" w:cs="Arial"/>
        </w:rPr>
        <w:t>Engelhard, G.H., Righton, D.A.,</w:t>
      </w:r>
      <w:r w:rsidR="002460D8" w:rsidRPr="001B4910">
        <w:rPr>
          <w:rFonts w:ascii="Arial" w:hAnsi="Arial" w:cs="Arial"/>
        </w:rPr>
        <w:t xml:space="preserve"> </w:t>
      </w:r>
      <w:r w:rsidRPr="001B4910">
        <w:rPr>
          <w:rFonts w:ascii="Arial" w:hAnsi="Arial" w:cs="Arial"/>
        </w:rPr>
        <w:t>Pinnegar</w:t>
      </w:r>
      <w:r w:rsidR="002460D8" w:rsidRPr="001B4910">
        <w:rPr>
          <w:rFonts w:ascii="Arial" w:hAnsi="Arial" w:cs="Arial"/>
        </w:rPr>
        <w:t>, J. K.,</w:t>
      </w:r>
      <w:r w:rsidRPr="001B4910">
        <w:rPr>
          <w:rFonts w:ascii="Arial" w:hAnsi="Arial" w:cs="Arial"/>
        </w:rPr>
        <w:t xml:space="preserve"> 2014. Climate change and fishing: a century of shifting distribution in North Sea cod. </w:t>
      </w:r>
      <w:r w:rsidR="001C77D1" w:rsidRPr="001B4910">
        <w:rPr>
          <w:rFonts w:ascii="Arial" w:hAnsi="Arial" w:cs="Arial"/>
        </w:rPr>
        <w:t xml:space="preserve">Glob. Chang. Biol. 20, </w:t>
      </w:r>
      <w:r w:rsidR="001E79DE" w:rsidRPr="001B4910">
        <w:rPr>
          <w:rFonts w:ascii="Arial" w:hAnsi="Arial" w:cs="Arial"/>
        </w:rPr>
        <w:t>2473-2483</w:t>
      </w:r>
      <w:r w:rsidR="00840CEF" w:rsidRPr="001B4910">
        <w:rPr>
          <w:rFonts w:ascii="Arial" w:hAnsi="Arial" w:cs="Arial"/>
        </w:rPr>
        <w:t xml:space="preserve"> </w:t>
      </w:r>
    </w:p>
    <w:p w14:paraId="1D87C3CD" w14:textId="6CA02B3B" w:rsidR="00606CFE" w:rsidRPr="001B4910" w:rsidRDefault="00606CFE" w:rsidP="00CA1C98">
      <w:pPr>
        <w:ind w:left="720" w:hanging="720"/>
        <w:rPr>
          <w:rFonts w:ascii="Arial" w:hAnsi="Arial" w:cs="Arial"/>
        </w:rPr>
      </w:pPr>
      <w:r w:rsidRPr="001B4910">
        <w:rPr>
          <w:rFonts w:ascii="Arial" w:hAnsi="Arial" w:cs="Arial"/>
        </w:rPr>
        <w:t>Hilborn</w:t>
      </w:r>
      <w:r w:rsidR="00CA197A" w:rsidRPr="001B4910">
        <w:rPr>
          <w:rFonts w:ascii="Arial" w:hAnsi="Arial" w:cs="Arial"/>
        </w:rPr>
        <w:t xml:space="preserve">, R., Quinn, T. P., Schindler, D. E., Rogers, D. E., 2003. Biocomplexity and fisheries sustainability. PNAS USA. 100, 6564-6568. </w:t>
      </w:r>
    </w:p>
    <w:p w14:paraId="6B7A8DF7" w14:textId="2B46EC3B" w:rsidR="00EC6A6A" w:rsidRPr="001B4910" w:rsidRDefault="002460D8" w:rsidP="00CA1C98">
      <w:pPr>
        <w:ind w:left="720" w:hanging="720"/>
        <w:rPr>
          <w:rFonts w:ascii="Arial" w:hAnsi="Arial" w:cs="Arial"/>
        </w:rPr>
      </w:pPr>
      <w:r w:rsidRPr="001B4910">
        <w:rPr>
          <w:rFonts w:ascii="Arial" w:hAnsi="Arial" w:cs="Arial"/>
        </w:rPr>
        <w:t xml:space="preserve">Kimura, D. K., </w:t>
      </w:r>
      <w:r w:rsidR="00EC6A6A" w:rsidRPr="001B4910">
        <w:rPr>
          <w:rFonts w:ascii="Arial" w:hAnsi="Arial" w:cs="Arial"/>
        </w:rPr>
        <w:t>Somerton</w:t>
      </w:r>
      <w:r w:rsidRPr="001B4910">
        <w:rPr>
          <w:rFonts w:ascii="Arial" w:hAnsi="Arial" w:cs="Arial"/>
        </w:rPr>
        <w:t xml:space="preserve">, D. A., </w:t>
      </w:r>
      <w:r w:rsidR="00EC6A6A" w:rsidRPr="001B4910">
        <w:rPr>
          <w:rFonts w:ascii="Arial" w:hAnsi="Arial" w:cs="Arial"/>
        </w:rPr>
        <w:t xml:space="preserve">2006. Review of Statistical Aspects of Survey Sampling for Marine Fishes. </w:t>
      </w:r>
      <w:r w:rsidR="001C77D1" w:rsidRPr="001B4910">
        <w:rPr>
          <w:rFonts w:ascii="Arial" w:hAnsi="Arial" w:cs="Arial"/>
        </w:rPr>
        <w:t xml:space="preserve">Rev. Fish. Sci. 14, </w:t>
      </w:r>
      <w:r w:rsidR="00EC6A6A" w:rsidRPr="001B4910">
        <w:rPr>
          <w:rFonts w:ascii="Arial" w:hAnsi="Arial" w:cs="Arial"/>
        </w:rPr>
        <w:t xml:space="preserve">245-283 </w:t>
      </w:r>
    </w:p>
    <w:p w14:paraId="1742FE25" w14:textId="1072E172" w:rsidR="00EB1759" w:rsidRPr="001B4910" w:rsidRDefault="00EB1759" w:rsidP="00CA1C98">
      <w:pPr>
        <w:ind w:left="720" w:hanging="720"/>
        <w:rPr>
          <w:rFonts w:ascii="Arial" w:hAnsi="Arial" w:cs="Arial"/>
        </w:rPr>
      </w:pPr>
      <w:r w:rsidRPr="001B4910">
        <w:rPr>
          <w:rFonts w:ascii="Arial" w:hAnsi="Arial" w:cs="Arial"/>
        </w:rPr>
        <w:t>Neidetcher, S.K., Hurst, T.P., Ciannelli, L.</w:t>
      </w:r>
      <w:r w:rsidR="00EC6A6A" w:rsidRPr="001B4910">
        <w:rPr>
          <w:rFonts w:ascii="Arial" w:hAnsi="Arial" w:cs="Arial"/>
        </w:rPr>
        <w:t>,</w:t>
      </w:r>
      <w:r w:rsidR="002460D8" w:rsidRPr="001B4910">
        <w:rPr>
          <w:rFonts w:ascii="Arial" w:hAnsi="Arial" w:cs="Arial"/>
        </w:rPr>
        <w:t xml:space="preserve"> </w:t>
      </w:r>
      <w:r w:rsidRPr="001B4910">
        <w:rPr>
          <w:rFonts w:ascii="Arial" w:hAnsi="Arial" w:cs="Arial"/>
        </w:rPr>
        <w:t>Logerwell</w:t>
      </w:r>
      <w:r w:rsidR="002460D8" w:rsidRPr="001B4910">
        <w:rPr>
          <w:rFonts w:ascii="Arial" w:hAnsi="Arial" w:cs="Arial"/>
        </w:rPr>
        <w:t xml:space="preserve">, E. A., </w:t>
      </w:r>
      <w:r w:rsidRPr="001B4910">
        <w:rPr>
          <w:rFonts w:ascii="Arial" w:hAnsi="Arial" w:cs="Arial"/>
        </w:rPr>
        <w:t>2014. Spawning phenology and geography of Aleutian Islands and eastern Bering Sea Pacific cod (</w:t>
      </w:r>
      <w:r w:rsidRPr="001B4910">
        <w:rPr>
          <w:rFonts w:ascii="Arial" w:hAnsi="Arial" w:cs="Arial"/>
          <w:i/>
        </w:rPr>
        <w:t>Gadus macrocephalus</w:t>
      </w:r>
      <w:r w:rsidRPr="001B4910">
        <w:rPr>
          <w:rFonts w:ascii="Arial" w:hAnsi="Arial" w:cs="Arial"/>
        </w:rPr>
        <w:t>). Deep Sea Res</w:t>
      </w:r>
      <w:r w:rsidR="001C77D1" w:rsidRPr="001B4910">
        <w:rPr>
          <w:rFonts w:ascii="Arial" w:hAnsi="Arial" w:cs="Arial"/>
        </w:rPr>
        <w:t xml:space="preserve">. Part II Top. Stud. </w:t>
      </w:r>
      <w:r w:rsidRPr="001B4910">
        <w:rPr>
          <w:rFonts w:ascii="Arial" w:hAnsi="Arial" w:cs="Arial"/>
        </w:rPr>
        <w:t>Oceanogr</w:t>
      </w:r>
      <w:r w:rsidR="001C77D1" w:rsidRPr="001B4910">
        <w:rPr>
          <w:rFonts w:ascii="Arial" w:hAnsi="Arial" w:cs="Arial"/>
        </w:rPr>
        <w:t xml:space="preserve">. 109, </w:t>
      </w:r>
      <w:r w:rsidRPr="001B4910">
        <w:rPr>
          <w:rFonts w:ascii="Arial" w:hAnsi="Arial" w:cs="Arial"/>
        </w:rPr>
        <w:t>204-214</w:t>
      </w:r>
    </w:p>
    <w:p w14:paraId="223F7A5A" w14:textId="5FD37CD1" w:rsidR="008B3295" w:rsidRPr="001B4910" w:rsidRDefault="00CA197A" w:rsidP="00CA1C98">
      <w:pPr>
        <w:ind w:left="720" w:hanging="720"/>
        <w:rPr>
          <w:rFonts w:ascii="Arial" w:hAnsi="Arial" w:cs="Arial"/>
        </w:rPr>
      </w:pPr>
      <w:r w:rsidRPr="001B4910">
        <w:rPr>
          <w:rFonts w:ascii="Arial" w:hAnsi="Arial" w:cs="Arial"/>
        </w:rPr>
        <w:t>Nichol, D. G., Honkalehto, T., Thompson, G. G., 2007. Proximity of Pacific cod to the sea floor: Using archival tags to estimate fish availability to research bottom trawl. Fish. Res. 86, 129-135.</w:t>
      </w:r>
    </w:p>
    <w:p w14:paraId="72EAA63B" w14:textId="45A8CE1E" w:rsidR="002F68F6" w:rsidRPr="001B4910" w:rsidRDefault="002F68F6" w:rsidP="00CA1C98">
      <w:pPr>
        <w:ind w:left="720" w:hanging="720"/>
        <w:rPr>
          <w:rFonts w:ascii="Arial" w:hAnsi="Arial" w:cs="Arial"/>
        </w:rPr>
      </w:pPr>
      <w:r w:rsidRPr="001B4910">
        <w:rPr>
          <w:rFonts w:ascii="Arial" w:hAnsi="Arial" w:cs="Arial"/>
        </w:rPr>
        <w:t xml:space="preserve">Rand, K. M., Munro, P., Neidetcher, S. K., Nichol, D. G., 2014. Observations of Seasonal Movement from a Single Tag Release Group of Pacific cod in the Eastern Bering Sea. Mar. Coast. Fish. 6, 287-296. </w:t>
      </w:r>
      <w:hyperlink r:id="rId9" w:history="1">
        <w:r w:rsidR="00EA692D" w:rsidRPr="001B4910">
          <w:rPr>
            <w:rStyle w:val="Hyperlink"/>
            <w:rFonts w:ascii="Arial" w:hAnsi="Arial" w:cs="Arial"/>
          </w:rPr>
          <w:t>https://doi.org/10.1080/19425120.2014.976680</w:t>
        </w:r>
      </w:hyperlink>
    </w:p>
    <w:p w14:paraId="77F82D29" w14:textId="77777777" w:rsidR="00EA692D" w:rsidRPr="001B4910" w:rsidRDefault="00EA692D" w:rsidP="00EA692D">
      <w:pPr>
        <w:ind w:left="720" w:hanging="720"/>
        <w:rPr>
          <w:rFonts w:ascii="Arial" w:hAnsi="Arial" w:cs="Arial"/>
        </w:rPr>
      </w:pPr>
      <w:r w:rsidRPr="001B4910">
        <w:rPr>
          <w:rFonts w:ascii="Arial" w:hAnsi="Arial" w:cs="Arial"/>
        </w:rPr>
        <w:t>Rouyer, T., Ottersen, G., Durant, J.M., Hidalgo, M., Hjermann, D.Ø., Persson, J., Stige, L.C., Stenseth, N. C., 2011. Shifting dynamic forces in fish stock fluctuations triggered by age truncation? Glob. Chang. Biol. 17, 3046-3057.</w:t>
      </w:r>
    </w:p>
    <w:p w14:paraId="0AF2E510" w14:textId="4F545618" w:rsidR="00FB11EC" w:rsidRPr="001B4910" w:rsidRDefault="006B42D6" w:rsidP="009C4893">
      <w:pPr>
        <w:ind w:left="720" w:hanging="720"/>
        <w:rPr>
          <w:rFonts w:ascii="Arial" w:hAnsi="Arial" w:cs="Arial"/>
        </w:rPr>
      </w:pPr>
      <w:r w:rsidRPr="001B4910">
        <w:rPr>
          <w:rFonts w:ascii="Arial" w:hAnsi="Arial" w:cs="Arial"/>
        </w:rPr>
        <w:t xml:space="preserve">Shimada, A. M., </w:t>
      </w:r>
      <w:r w:rsidR="00EB1759" w:rsidRPr="001B4910">
        <w:rPr>
          <w:rFonts w:ascii="Arial" w:hAnsi="Arial" w:cs="Arial"/>
        </w:rPr>
        <w:t>Kimura</w:t>
      </w:r>
      <w:r w:rsidRPr="001B4910">
        <w:rPr>
          <w:rFonts w:ascii="Arial" w:hAnsi="Arial" w:cs="Arial"/>
        </w:rPr>
        <w:t>, D. K.,</w:t>
      </w:r>
      <w:r w:rsidR="00EB1759" w:rsidRPr="001B4910">
        <w:rPr>
          <w:rFonts w:ascii="Arial" w:hAnsi="Arial" w:cs="Arial"/>
        </w:rPr>
        <w:t xml:space="preserve"> 1994. Seasonal movements of Pacific cod, </w:t>
      </w:r>
      <w:r w:rsidR="00EB1759" w:rsidRPr="001B4910">
        <w:rPr>
          <w:rFonts w:ascii="Arial" w:hAnsi="Arial" w:cs="Arial"/>
          <w:i/>
        </w:rPr>
        <w:t>Gadus macrocephalus</w:t>
      </w:r>
      <w:r w:rsidR="00EB1759" w:rsidRPr="001B4910">
        <w:rPr>
          <w:rFonts w:ascii="Arial" w:hAnsi="Arial" w:cs="Arial"/>
        </w:rPr>
        <w:t>, in the eastern Bering Sea and adjacent waters based on tag-recapture data. Fish</w:t>
      </w:r>
      <w:r w:rsidR="002460D8" w:rsidRPr="001B4910">
        <w:rPr>
          <w:rFonts w:ascii="Arial" w:hAnsi="Arial" w:cs="Arial"/>
        </w:rPr>
        <w:t>.</w:t>
      </w:r>
      <w:r w:rsidR="00EB1759" w:rsidRPr="001B4910">
        <w:rPr>
          <w:rFonts w:ascii="Arial" w:hAnsi="Arial" w:cs="Arial"/>
        </w:rPr>
        <w:t xml:space="preserve"> Bull</w:t>
      </w:r>
      <w:r w:rsidR="002460D8" w:rsidRPr="001B4910">
        <w:rPr>
          <w:rFonts w:ascii="Arial" w:hAnsi="Arial" w:cs="Arial"/>
        </w:rPr>
        <w:t>.</w:t>
      </w:r>
      <w:r w:rsidRPr="001B4910">
        <w:rPr>
          <w:rFonts w:ascii="Arial" w:hAnsi="Arial" w:cs="Arial"/>
        </w:rPr>
        <w:t xml:space="preserve"> 92, </w:t>
      </w:r>
      <w:r w:rsidR="00EB1759" w:rsidRPr="001B4910">
        <w:rPr>
          <w:rFonts w:ascii="Arial" w:hAnsi="Arial" w:cs="Arial"/>
        </w:rPr>
        <w:t>800-816.</w:t>
      </w:r>
    </w:p>
    <w:p w14:paraId="4499A28B" w14:textId="44684DC8" w:rsidR="000231AC" w:rsidRPr="001B4910" w:rsidRDefault="000231AC" w:rsidP="00CA1C98">
      <w:pPr>
        <w:ind w:left="720" w:hanging="720"/>
        <w:rPr>
          <w:rFonts w:ascii="Arial" w:hAnsi="Arial" w:cs="Arial"/>
        </w:rPr>
      </w:pPr>
      <w:r w:rsidRPr="001B4910">
        <w:rPr>
          <w:rFonts w:ascii="Arial" w:hAnsi="Arial" w:cs="Arial"/>
        </w:rPr>
        <w:lastRenderedPageBreak/>
        <w:t>Spies, I., Gruenthal, K. M., Drinan, D. P., Hollowed, A. B., Stevenson, D. E.,</w:t>
      </w:r>
      <w:r w:rsidR="00EB56D8" w:rsidRPr="001B4910">
        <w:rPr>
          <w:rFonts w:ascii="Arial" w:hAnsi="Arial" w:cs="Arial"/>
        </w:rPr>
        <w:t xml:space="preserve"> Tarpey, C. M., Hauser, L., 2020</w:t>
      </w:r>
      <w:r w:rsidRPr="001B4910">
        <w:rPr>
          <w:rFonts w:ascii="Arial" w:hAnsi="Arial" w:cs="Arial"/>
        </w:rPr>
        <w:t xml:space="preserve">. Genetic evidence of a northward range expansion in the eastern Bering Sea stock of Pacific cod. Evol. App. 13, 362-375. </w:t>
      </w:r>
      <w:hyperlink r:id="rId10" w:history="1">
        <w:r w:rsidR="005A6059" w:rsidRPr="001B4910">
          <w:rPr>
            <w:rStyle w:val="Hyperlink"/>
            <w:rFonts w:ascii="Arial" w:hAnsi="Arial" w:cs="Arial"/>
          </w:rPr>
          <w:t>https://doi.org/10.1111/eva.12874</w:t>
        </w:r>
      </w:hyperlink>
    </w:p>
    <w:p w14:paraId="446E2083" w14:textId="7177C815" w:rsidR="003E7A16" w:rsidRPr="001B4910" w:rsidRDefault="003E7A16" w:rsidP="003E7A16">
      <w:pPr>
        <w:ind w:left="720" w:hanging="720"/>
        <w:rPr>
          <w:rFonts w:ascii="Arial" w:hAnsi="Arial" w:cs="Arial"/>
        </w:rPr>
      </w:pPr>
      <w:r w:rsidRPr="001B4910">
        <w:rPr>
          <w:rFonts w:ascii="Arial" w:hAnsi="Arial" w:cs="Arial"/>
        </w:rPr>
        <w:t xml:space="preserve">Spies, I. B., Thompson, G. G., Ortiz, I., Siddon, E., Palsson, W. A., 2020. Assessment of the Pacific Cod Stock in the Aleutian Islands. North Pacific Fisheries Management Council. [Available at: https://apps-afsc.fisheries.noaa.gov/refm/docs/2020/AIpcod.pdf, accessed on March, 2021] </w:t>
      </w:r>
    </w:p>
    <w:p w14:paraId="1B43C704" w14:textId="3D1D578C" w:rsidR="009C4893" w:rsidRPr="001B4910" w:rsidRDefault="009C4893" w:rsidP="003E7A16">
      <w:pPr>
        <w:ind w:left="720" w:hanging="720"/>
        <w:rPr>
          <w:rFonts w:ascii="Arial" w:hAnsi="Arial" w:cs="Arial"/>
        </w:rPr>
      </w:pPr>
      <w:r w:rsidRPr="001B4910">
        <w:rPr>
          <w:rFonts w:ascii="Arial" w:hAnsi="Arial" w:cs="Arial"/>
        </w:rPr>
        <w:t xml:space="preserve">Stark, J. W., 2007. Geographic and seasonal variations in maturation and growth of female Pacific cod (Gadus microcephalus in the Gulf of Alaska and Bering Sea. Fish. Bull. 105, 396-407. </w:t>
      </w:r>
    </w:p>
    <w:p w14:paraId="29B470C0" w14:textId="4770E1E3" w:rsidR="00FC2601" w:rsidRPr="001B4910" w:rsidRDefault="00A73DD5" w:rsidP="003E7A16">
      <w:pPr>
        <w:ind w:left="720" w:hanging="720"/>
        <w:rPr>
          <w:rFonts w:ascii="Arial" w:hAnsi="Arial" w:cs="Arial"/>
        </w:rPr>
      </w:pPr>
      <w:r w:rsidRPr="001B4910">
        <w:rPr>
          <w:rFonts w:ascii="Arial" w:hAnsi="Arial" w:cs="Arial"/>
        </w:rPr>
        <w:t>Stauffer, G., 2004. NOAA protocols for groundfish bottom trawl surveys of the nation's fishery resources. U. S. Department of Commerce, NOAA, Technical Memorandum NMFS-SPO-65. http://www.adfg.alaska.gov/fedaidpdfs/AFRB.11.2.135-145.pdf</w:t>
      </w:r>
    </w:p>
    <w:p w14:paraId="54D5B533" w14:textId="6F709669" w:rsidR="00FC2601" w:rsidRPr="001B4910" w:rsidRDefault="006B42D6" w:rsidP="008C1F2B">
      <w:pPr>
        <w:ind w:left="720" w:hanging="720"/>
        <w:rPr>
          <w:rFonts w:ascii="Arial" w:hAnsi="Arial" w:cs="Arial"/>
          <w:color w:val="0563C1" w:themeColor="hyperlink"/>
          <w:u w:val="single"/>
        </w:rPr>
      </w:pPr>
      <w:r w:rsidRPr="001B4910">
        <w:rPr>
          <w:rFonts w:ascii="Arial" w:hAnsi="Arial" w:cs="Arial"/>
        </w:rPr>
        <w:t xml:space="preserve">Stevenson, D. E., Lauth, R. R., 2018. Bottom trawl surveys in the northern Bering Sea indicate recent shifts in the distribution of marine species. Polar Biol. 42, 407-421. </w:t>
      </w:r>
      <w:hyperlink r:id="rId11" w:history="1">
        <w:r w:rsidR="008145FE" w:rsidRPr="001B4910">
          <w:rPr>
            <w:rStyle w:val="Hyperlink"/>
            <w:rFonts w:ascii="Arial" w:hAnsi="Arial" w:cs="Arial"/>
          </w:rPr>
          <w:t>https://doi.org/10.1007/s00300-018-2431-1</w:t>
        </w:r>
      </w:hyperlink>
    </w:p>
    <w:p w14:paraId="04203C87" w14:textId="4C65B152" w:rsidR="00FC2601" w:rsidRPr="001B4910" w:rsidRDefault="00FC2601" w:rsidP="00CA1C98">
      <w:pPr>
        <w:ind w:left="720" w:hanging="720"/>
        <w:rPr>
          <w:rFonts w:ascii="Arial" w:hAnsi="Arial" w:cs="Arial"/>
        </w:rPr>
      </w:pPr>
      <w:r w:rsidRPr="001B4910">
        <w:rPr>
          <w:rFonts w:ascii="Arial" w:hAnsi="Arial" w:cs="Arial"/>
        </w:rPr>
        <w:t>Stoner, A. W., Ottmar, M. L., 2004. Fish density and size alter Pacific halibut feeding: implications for stock assessment. Fish Biol. 64, 1712-1724</w:t>
      </w:r>
    </w:p>
    <w:p w14:paraId="40663B04" w14:textId="11EFC10C" w:rsidR="00411B23" w:rsidRPr="001B4910" w:rsidRDefault="00411B23" w:rsidP="00CA1C98">
      <w:pPr>
        <w:ind w:left="720" w:hanging="720"/>
        <w:rPr>
          <w:rFonts w:ascii="Arial" w:hAnsi="Arial" w:cs="Arial"/>
        </w:rPr>
      </w:pPr>
      <w:r w:rsidRPr="001B4910">
        <w:rPr>
          <w:rFonts w:ascii="Arial" w:hAnsi="Arial" w:cs="Arial"/>
        </w:rPr>
        <w:t>Thomp</w:t>
      </w:r>
      <w:r w:rsidR="003E7A16" w:rsidRPr="001B4910">
        <w:rPr>
          <w:rFonts w:ascii="Arial" w:hAnsi="Arial" w:cs="Arial"/>
        </w:rPr>
        <w:t>son, G. G., Conner, J., Shotwell, K. S., Fissel, B., Hurst, T., Laurel, B., Rogers, L., Siddon, E., 2020</w:t>
      </w:r>
      <w:r w:rsidRPr="001B4910">
        <w:rPr>
          <w:rFonts w:ascii="Arial" w:hAnsi="Arial" w:cs="Arial"/>
        </w:rPr>
        <w:t xml:space="preserve">. Assessment of Pacific cod stock in the Eastern Bering Sea. North Pacific Fisheries Management Council. [Available at: </w:t>
      </w:r>
      <w:hyperlink r:id="rId12" w:history="1">
        <w:r w:rsidR="003E7A16" w:rsidRPr="001B4910">
          <w:rPr>
            <w:rStyle w:val="Hyperlink"/>
            <w:rFonts w:ascii="Arial" w:hAnsi="Arial" w:cs="Arial"/>
          </w:rPr>
          <w:t>https://apps-afsc.fisheries.noaa.gov/refm/docs/2020/EBSpcod.pdf</w:t>
        </w:r>
      </w:hyperlink>
      <w:r w:rsidRPr="001B4910">
        <w:rPr>
          <w:rFonts w:ascii="Arial" w:hAnsi="Arial" w:cs="Arial"/>
        </w:rPr>
        <w:t xml:space="preserve">, accessed on </w:t>
      </w:r>
      <w:r w:rsidR="003E7A16" w:rsidRPr="001B4910">
        <w:rPr>
          <w:rFonts w:ascii="Arial" w:hAnsi="Arial" w:cs="Arial"/>
        </w:rPr>
        <w:t>March,</w:t>
      </w:r>
      <w:r w:rsidRPr="001B4910">
        <w:rPr>
          <w:rFonts w:ascii="Arial" w:hAnsi="Arial" w:cs="Arial"/>
        </w:rPr>
        <w:t xml:space="preserve"> 2021]</w:t>
      </w:r>
    </w:p>
    <w:p w14:paraId="35CD9E42" w14:textId="27BBC693" w:rsidR="00C6384D" w:rsidRPr="001B4910" w:rsidRDefault="00C6384D" w:rsidP="00C6384D">
      <w:pPr>
        <w:ind w:left="720" w:hanging="720"/>
        <w:rPr>
          <w:rFonts w:ascii="Arial" w:hAnsi="Arial" w:cs="Arial"/>
        </w:rPr>
      </w:pPr>
      <w:r w:rsidRPr="001B4910">
        <w:rPr>
          <w:rFonts w:ascii="Arial" w:hAnsi="Arial" w:cs="Arial"/>
        </w:rPr>
        <w:t xml:space="preserve">Thompson, G. G., 2018. Assessment of Pacific cod stock in the Eastern Bering Sea. North Pacific Fisheries Management Council. [Available at: </w:t>
      </w:r>
      <w:hyperlink r:id="rId13" w:history="1">
        <w:r w:rsidRPr="001B4910">
          <w:rPr>
            <w:rStyle w:val="Hyperlink"/>
            <w:rFonts w:ascii="Arial" w:hAnsi="Arial" w:cs="Arial"/>
          </w:rPr>
          <w:t>https://apps-afsc.fisheries.noaa.gov/REFM/Docs/2018/BSAI/EBSpcod.pdf</w:t>
        </w:r>
      </w:hyperlink>
      <w:r w:rsidRPr="001B4910">
        <w:rPr>
          <w:rFonts w:ascii="Arial" w:hAnsi="Arial" w:cs="Arial"/>
        </w:rPr>
        <w:t>, accessed on March, 2021]</w:t>
      </w:r>
    </w:p>
    <w:p w14:paraId="69BDC92C" w14:textId="2C2FE5EB" w:rsidR="00606CFE" w:rsidRPr="001B4910" w:rsidRDefault="00606CFE" w:rsidP="00C6384D">
      <w:pPr>
        <w:ind w:left="720" w:hanging="720"/>
        <w:rPr>
          <w:rFonts w:ascii="Arial" w:hAnsi="Arial" w:cs="Arial"/>
        </w:rPr>
      </w:pPr>
      <w:r w:rsidRPr="001B4910">
        <w:rPr>
          <w:rFonts w:ascii="Arial" w:hAnsi="Arial" w:cs="Arial"/>
        </w:rPr>
        <w:t>Tobin</w:t>
      </w:r>
      <w:r w:rsidR="005B2AE4" w:rsidRPr="001B4910">
        <w:rPr>
          <w:rFonts w:ascii="Arial" w:hAnsi="Arial" w:cs="Arial"/>
        </w:rPr>
        <w:t xml:space="preserve">, A., Currey, L., Simpfendorfer, C., 2013. Informing the vulnerability to spawning aggregation fishing using commercial catch data. Fish. Res. 143, 47-56. </w:t>
      </w:r>
    </w:p>
    <w:p w14:paraId="2EEC46DF" w14:textId="4545AC7A" w:rsidR="00840CEF" w:rsidRPr="001B4910" w:rsidRDefault="00EC6A6A" w:rsidP="00CA1C98">
      <w:pPr>
        <w:ind w:left="720" w:hanging="720"/>
        <w:rPr>
          <w:rFonts w:ascii="Arial" w:hAnsi="Arial" w:cs="Arial"/>
        </w:rPr>
      </w:pPr>
      <w:r w:rsidRPr="001B4910">
        <w:rPr>
          <w:rFonts w:ascii="Arial" w:hAnsi="Arial" w:cs="Arial"/>
        </w:rPr>
        <w:t>Walker, N.D., Maxwell, D. L., Le Quesne, W. J. F., Jennings</w:t>
      </w:r>
      <w:r w:rsidR="002460D8" w:rsidRPr="001B4910">
        <w:rPr>
          <w:rFonts w:ascii="Arial" w:hAnsi="Arial" w:cs="Arial"/>
        </w:rPr>
        <w:t>, S.,</w:t>
      </w:r>
      <w:r w:rsidRPr="001B4910">
        <w:rPr>
          <w:rFonts w:ascii="Arial" w:hAnsi="Arial" w:cs="Arial"/>
        </w:rPr>
        <w:t xml:space="preserve"> 2017. Estimating </w:t>
      </w:r>
      <w:r w:rsidR="002460D8" w:rsidRPr="001B4910">
        <w:rPr>
          <w:rFonts w:ascii="Arial" w:hAnsi="Arial" w:cs="Arial"/>
        </w:rPr>
        <w:t>efficiency</w:t>
      </w:r>
      <w:r w:rsidRPr="001B4910">
        <w:rPr>
          <w:rFonts w:ascii="Arial" w:hAnsi="Arial" w:cs="Arial"/>
        </w:rPr>
        <w:t xml:space="preserve"> of survey and commercial trawl gears from comparisons of catch-rations. IC</w:t>
      </w:r>
      <w:r w:rsidR="001C77D1" w:rsidRPr="001B4910">
        <w:rPr>
          <w:rFonts w:ascii="Arial" w:hAnsi="Arial" w:cs="Arial"/>
        </w:rPr>
        <w:t>ES J. Mar. Sci.</w:t>
      </w:r>
      <w:r w:rsidRPr="001B4910">
        <w:rPr>
          <w:rFonts w:ascii="Arial" w:hAnsi="Arial" w:cs="Arial"/>
        </w:rPr>
        <w:t xml:space="preserve"> 74</w:t>
      </w:r>
      <w:r w:rsidR="001C77D1" w:rsidRPr="001B4910">
        <w:rPr>
          <w:rFonts w:ascii="Arial" w:hAnsi="Arial" w:cs="Arial"/>
        </w:rPr>
        <w:t xml:space="preserve">, </w:t>
      </w:r>
      <w:r w:rsidRPr="001B4910">
        <w:rPr>
          <w:rFonts w:ascii="Arial" w:hAnsi="Arial" w:cs="Arial"/>
        </w:rPr>
        <w:t xml:space="preserve">1448-1457. </w:t>
      </w:r>
      <w:r w:rsidR="00885D32" w:rsidRPr="001B4910">
        <w:rPr>
          <w:rFonts w:ascii="Arial" w:hAnsi="Arial" w:cs="Arial"/>
        </w:rPr>
        <w:t>https://doi.org/</w:t>
      </w:r>
      <w:r w:rsidRPr="001B4910">
        <w:rPr>
          <w:rFonts w:ascii="Arial" w:hAnsi="Arial" w:cs="Arial"/>
        </w:rPr>
        <w:t>10.1080/10641260600621761</w:t>
      </w:r>
    </w:p>
    <w:p w14:paraId="373C3915" w14:textId="420BD2DA" w:rsidR="004A63E8" w:rsidRPr="001B4910" w:rsidRDefault="004A63E8" w:rsidP="00CA1C98">
      <w:pPr>
        <w:spacing w:after="0" w:line="240" w:lineRule="auto"/>
        <w:ind w:left="720" w:hanging="720"/>
        <w:rPr>
          <w:rFonts w:ascii="Arial" w:hAnsi="Arial" w:cs="Arial"/>
        </w:rPr>
        <w:sectPr w:rsidR="004A63E8" w:rsidRPr="001B4910">
          <w:pgSz w:w="12240" w:h="15840"/>
          <w:pgMar w:top="1440" w:right="1440" w:bottom="1440" w:left="1440" w:header="720" w:footer="720" w:gutter="0"/>
          <w:cols w:space="720"/>
          <w:docGrid w:linePitch="360"/>
        </w:sectPr>
      </w:pPr>
      <w:r w:rsidRPr="001B4910">
        <w:rPr>
          <w:rFonts w:ascii="Arial" w:hAnsi="Arial" w:cs="Arial"/>
        </w:rPr>
        <w:t xml:space="preserve">Weinberg, </w:t>
      </w:r>
      <w:r w:rsidR="00CA1C98" w:rsidRPr="001B4910">
        <w:rPr>
          <w:rFonts w:ascii="Arial" w:hAnsi="Arial" w:cs="Arial"/>
        </w:rPr>
        <w:t>K. L., Yeung, C., Somerton, D. A., Thompson, G. G., Ressler, P. H., 2016. Is the survey selectivity curve for Pacific cod (</w:t>
      </w:r>
      <w:r w:rsidR="000231AC" w:rsidRPr="001B4910">
        <w:rPr>
          <w:rFonts w:ascii="Arial" w:hAnsi="Arial" w:cs="Arial"/>
          <w:i/>
        </w:rPr>
        <w:t>Gadus ma</w:t>
      </w:r>
      <w:r w:rsidR="00CA1C98" w:rsidRPr="001B4910">
        <w:rPr>
          <w:rFonts w:ascii="Arial" w:hAnsi="Arial" w:cs="Arial"/>
          <w:i/>
        </w:rPr>
        <w:t>crocephalus</w:t>
      </w:r>
      <w:r w:rsidR="00CA1C98" w:rsidRPr="001B4910">
        <w:rPr>
          <w:rFonts w:ascii="Arial" w:hAnsi="Arial" w:cs="Arial"/>
        </w:rPr>
        <w:t xml:space="preserve">) dome-shaped? Direct evidence from trawl studies. Fish. Bull. 114, 360-369.  </w:t>
      </w:r>
      <w:r w:rsidR="00885D32" w:rsidRPr="001B4910">
        <w:rPr>
          <w:rFonts w:ascii="Arial" w:hAnsi="Arial" w:cs="Arial"/>
        </w:rPr>
        <w:t>https://doi.org/</w:t>
      </w:r>
      <w:r w:rsidR="00CA1C98" w:rsidRPr="001B4910">
        <w:rPr>
          <w:rFonts w:ascii="Arial" w:hAnsi="Arial" w:cs="Arial"/>
        </w:rPr>
        <w:t>10.7755/FB.114.3.8.</w:t>
      </w:r>
    </w:p>
    <w:p w14:paraId="6C4F0CB8" w14:textId="5F2414C3" w:rsidR="007949F2" w:rsidRPr="001B4910" w:rsidRDefault="007949F2" w:rsidP="007949F2">
      <w:pPr>
        <w:pStyle w:val="Heading1"/>
        <w:rPr>
          <w:rFonts w:ascii="Arial" w:hAnsi="Arial" w:cs="Arial"/>
          <w:szCs w:val="22"/>
        </w:rPr>
      </w:pPr>
      <w:r w:rsidRPr="001B4910">
        <w:rPr>
          <w:rFonts w:ascii="Arial" w:hAnsi="Arial" w:cs="Arial"/>
          <w:szCs w:val="22"/>
        </w:rPr>
        <w:lastRenderedPageBreak/>
        <w:t>7.0 Tables</w:t>
      </w:r>
    </w:p>
    <w:p w14:paraId="7A7DDF84" w14:textId="77777777" w:rsidR="007949F2" w:rsidRPr="001B4910" w:rsidRDefault="007949F2" w:rsidP="00F1734B">
      <w:pPr>
        <w:spacing w:line="360" w:lineRule="auto"/>
        <w:rPr>
          <w:rFonts w:ascii="Arial" w:hAnsi="Arial" w:cs="Arial"/>
        </w:rPr>
      </w:pPr>
      <w:r w:rsidRPr="001B4910">
        <w:rPr>
          <w:rFonts w:ascii="Arial" w:hAnsi="Arial" w:cs="Arial"/>
        </w:rPr>
        <w:t xml:space="preserve"> </w:t>
      </w:r>
    </w:p>
    <w:tbl>
      <w:tblPr>
        <w:tblStyle w:val="TableGrid"/>
        <w:tblpPr w:leftFromText="180" w:rightFromText="180" w:vertAnchor="page" w:horzAnchor="margin" w:tblpY="4709"/>
        <w:tblW w:w="12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200"/>
        <w:gridCol w:w="1620"/>
        <w:gridCol w:w="1440"/>
        <w:gridCol w:w="1584"/>
        <w:gridCol w:w="1066"/>
        <w:gridCol w:w="735"/>
        <w:gridCol w:w="922"/>
        <w:gridCol w:w="920"/>
        <w:gridCol w:w="929"/>
        <w:gridCol w:w="938"/>
      </w:tblGrid>
      <w:tr w:rsidR="006170A7" w:rsidRPr="001B4910" w14:paraId="261853D9" w14:textId="77777777" w:rsidTr="006170A7">
        <w:trPr>
          <w:trHeight w:val="300"/>
        </w:trPr>
        <w:tc>
          <w:tcPr>
            <w:tcW w:w="1086" w:type="dxa"/>
            <w:tcBorders>
              <w:top w:val="single" w:sz="4" w:space="0" w:color="auto"/>
              <w:bottom w:val="single" w:sz="4" w:space="0" w:color="auto"/>
            </w:tcBorders>
          </w:tcPr>
          <w:p w14:paraId="29727C44" w14:textId="77777777" w:rsidR="006170A7" w:rsidRPr="001B4910" w:rsidRDefault="006170A7" w:rsidP="001B4910">
            <w:pPr>
              <w:rPr>
                <w:rFonts w:ascii="Arial" w:hAnsi="Arial" w:cs="Arial"/>
                <w:sz w:val="20"/>
                <w:szCs w:val="20"/>
              </w:rPr>
            </w:pPr>
            <w:r w:rsidRPr="001B4910">
              <w:rPr>
                <w:rFonts w:ascii="Arial" w:hAnsi="Arial" w:cs="Arial"/>
                <w:sz w:val="20"/>
                <w:szCs w:val="20"/>
              </w:rPr>
              <w:t>Type</w:t>
            </w:r>
          </w:p>
        </w:tc>
        <w:tc>
          <w:tcPr>
            <w:tcW w:w="1200" w:type="dxa"/>
            <w:tcBorders>
              <w:top w:val="single" w:sz="4" w:space="0" w:color="auto"/>
              <w:bottom w:val="single" w:sz="4" w:space="0" w:color="auto"/>
            </w:tcBorders>
            <w:noWrap/>
            <w:hideMark/>
          </w:tcPr>
          <w:p w14:paraId="28161771" w14:textId="77777777" w:rsidR="006170A7" w:rsidRPr="001B4910" w:rsidRDefault="006170A7" w:rsidP="001B4910">
            <w:pPr>
              <w:rPr>
                <w:rFonts w:ascii="Arial" w:hAnsi="Arial" w:cs="Arial"/>
                <w:sz w:val="20"/>
                <w:szCs w:val="20"/>
              </w:rPr>
            </w:pPr>
            <w:r w:rsidRPr="001B4910">
              <w:rPr>
                <w:rFonts w:ascii="Arial" w:hAnsi="Arial" w:cs="Arial"/>
                <w:sz w:val="20"/>
                <w:szCs w:val="20"/>
              </w:rPr>
              <w:t>Study Area</w:t>
            </w:r>
          </w:p>
        </w:tc>
        <w:tc>
          <w:tcPr>
            <w:tcW w:w="1620" w:type="dxa"/>
            <w:tcBorders>
              <w:top w:val="single" w:sz="4" w:space="0" w:color="auto"/>
              <w:bottom w:val="single" w:sz="4" w:space="0" w:color="auto"/>
            </w:tcBorders>
            <w:noWrap/>
            <w:hideMark/>
          </w:tcPr>
          <w:p w14:paraId="728E229D" w14:textId="77777777" w:rsidR="006170A7" w:rsidRPr="001B4910" w:rsidRDefault="006170A7" w:rsidP="001B4910">
            <w:pPr>
              <w:rPr>
                <w:rFonts w:ascii="Arial" w:hAnsi="Arial" w:cs="Arial"/>
                <w:sz w:val="20"/>
                <w:szCs w:val="20"/>
              </w:rPr>
            </w:pPr>
            <w:r w:rsidRPr="001B4910">
              <w:rPr>
                <w:rFonts w:ascii="Arial" w:hAnsi="Arial" w:cs="Arial"/>
                <w:sz w:val="20"/>
                <w:szCs w:val="20"/>
              </w:rPr>
              <w:t>Type</w:t>
            </w:r>
          </w:p>
        </w:tc>
        <w:tc>
          <w:tcPr>
            <w:tcW w:w="1440" w:type="dxa"/>
            <w:tcBorders>
              <w:top w:val="single" w:sz="4" w:space="0" w:color="auto"/>
              <w:bottom w:val="single" w:sz="4" w:space="0" w:color="auto"/>
            </w:tcBorders>
            <w:noWrap/>
            <w:hideMark/>
          </w:tcPr>
          <w:p w14:paraId="51D2D5B3" w14:textId="77777777" w:rsidR="006170A7" w:rsidRPr="001B4910" w:rsidRDefault="006170A7" w:rsidP="001B4910">
            <w:pPr>
              <w:rPr>
                <w:rFonts w:ascii="Arial" w:hAnsi="Arial" w:cs="Arial"/>
                <w:sz w:val="20"/>
                <w:szCs w:val="20"/>
              </w:rPr>
            </w:pPr>
            <w:r w:rsidRPr="001B4910">
              <w:rPr>
                <w:rFonts w:ascii="Arial" w:hAnsi="Arial" w:cs="Arial"/>
                <w:sz w:val="20"/>
                <w:szCs w:val="20"/>
              </w:rPr>
              <w:t>Year Range</w:t>
            </w:r>
          </w:p>
        </w:tc>
        <w:tc>
          <w:tcPr>
            <w:tcW w:w="1584" w:type="dxa"/>
            <w:tcBorders>
              <w:top w:val="single" w:sz="4" w:space="0" w:color="auto"/>
              <w:bottom w:val="single" w:sz="4" w:space="0" w:color="auto"/>
            </w:tcBorders>
            <w:noWrap/>
            <w:hideMark/>
          </w:tcPr>
          <w:p w14:paraId="205D06D3"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Season</w:t>
            </w:r>
          </w:p>
        </w:tc>
        <w:tc>
          <w:tcPr>
            <w:tcW w:w="1066" w:type="dxa"/>
            <w:tcBorders>
              <w:top w:val="single" w:sz="4" w:space="0" w:color="auto"/>
              <w:bottom w:val="single" w:sz="4" w:space="0" w:color="auto"/>
            </w:tcBorders>
            <w:noWrap/>
            <w:hideMark/>
          </w:tcPr>
          <w:p w14:paraId="2BDB9B7A" w14:textId="77777777" w:rsidR="006170A7" w:rsidRPr="001B4910" w:rsidRDefault="006170A7" w:rsidP="001B4910">
            <w:pPr>
              <w:rPr>
                <w:rFonts w:ascii="Arial" w:hAnsi="Arial" w:cs="Arial"/>
                <w:sz w:val="20"/>
                <w:szCs w:val="20"/>
              </w:rPr>
            </w:pPr>
            <w:r w:rsidRPr="001B4910">
              <w:rPr>
                <w:rFonts w:ascii="Arial" w:hAnsi="Arial" w:cs="Arial"/>
                <w:i/>
                <w:sz w:val="20"/>
                <w:szCs w:val="20"/>
              </w:rPr>
              <w:t>n</w:t>
            </w:r>
          </w:p>
        </w:tc>
        <w:tc>
          <w:tcPr>
            <w:tcW w:w="735" w:type="dxa"/>
            <w:tcBorders>
              <w:top w:val="single" w:sz="4" w:space="0" w:color="auto"/>
              <w:bottom w:val="single" w:sz="4" w:space="0" w:color="auto"/>
            </w:tcBorders>
          </w:tcPr>
          <w:p w14:paraId="22E87475" w14:textId="77777777" w:rsidR="006170A7" w:rsidRPr="001B4910" w:rsidRDefault="006170A7" w:rsidP="001B4910">
            <w:pPr>
              <w:jc w:val="center"/>
              <w:rPr>
                <w:rFonts w:ascii="Arial" w:hAnsi="Arial" w:cs="Arial"/>
                <w:i/>
                <w:sz w:val="20"/>
                <w:szCs w:val="20"/>
              </w:rPr>
            </w:pPr>
            <w:r w:rsidRPr="001B4910">
              <w:rPr>
                <w:rFonts w:ascii="Arial" w:hAnsi="Arial" w:cs="Arial"/>
                <w:sz w:val="20"/>
                <w:szCs w:val="20"/>
              </w:rPr>
              <w:t>Mean</w:t>
            </w:r>
          </w:p>
        </w:tc>
        <w:tc>
          <w:tcPr>
            <w:tcW w:w="922" w:type="dxa"/>
            <w:tcBorders>
              <w:top w:val="single" w:sz="4" w:space="0" w:color="auto"/>
              <w:bottom w:val="single" w:sz="4" w:space="0" w:color="auto"/>
            </w:tcBorders>
          </w:tcPr>
          <w:p w14:paraId="4AC87DE0" w14:textId="77777777" w:rsidR="006170A7" w:rsidRPr="001B4910" w:rsidRDefault="006170A7" w:rsidP="001B4910">
            <w:pPr>
              <w:jc w:val="center"/>
              <w:rPr>
                <w:rFonts w:ascii="Arial" w:hAnsi="Arial" w:cs="Arial"/>
                <w:i/>
                <w:sz w:val="20"/>
                <w:szCs w:val="20"/>
              </w:rPr>
            </w:pPr>
            <w:r w:rsidRPr="001B4910">
              <w:rPr>
                <w:rFonts w:ascii="Arial" w:hAnsi="Arial" w:cs="Arial"/>
                <w:sz w:val="20"/>
                <w:szCs w:val="20"/>
              </w:rPr>
              <w:t>Max</w:t>
            </w:r>
          </w:p>
        </w:tc>
        <w:tc>
          <w:tcPr>
            <w:tcW w:w="920" w:type="dxa"/>
            <w:tcBorders>
              <w:top w:val="single" w:sz="4" w:space="0" w:color="auto"/>
              <w:bottom w:val="single" w:sz="4" w:space="0" w:color="auto"/>
            </w:tcBorders>
          </w:tcPr>
          <w:p w14:paraId="0891DE42" w14:textId="77777777" w:rsidR="006170A7" w:rsidRPr="001B4910" w:rsidRDefault="006170A7" w:rsidP="001B4910">
            <w:pPr>
              <w:jc w:val="center"/>
              <w:rPr>
                <w:rFonts w:ascii="Arial" w:hAnsi="Arial" w:cs="Arial"/>
                <w:i/>
                <w:sz w:val="20"/>
                <w:szCs w:val="20"/>
              </w:rPr>
            </w:pPr>
            <w:r w:rsidRPr="001B4910">
              <w:rPr>
                <w:rFonts w:ascii="Arial" w:hAnsi="Arial" w:cs="Arial"/>
                <w:sz w:val="20"/>
                <w:szCs w:val="20"/>
              </w:rPr>
              <w:t>Min</w:t>
            </w:r>
          </w:p>
        </w:tc>
        <w:tc>
          <w:tcPr>
            <w:tcW w:w="929" w:type="dxa"/>
            <w:tcBorders>
              <w:top w:val="single" w:sz="4" w:space="0" w:color="auto"/>
              <w:bottom w:val="single" w:sz="4" w:space="0" w:color="auto"/>
            </w:tcBorders>
          </w:tcPr>
          <w:p w14:paraId="5F084252" w14:textId="77777777" w:rsidR="006170A7" w:rsidRPr="001B4910" w:rsidRDefault="006170A7" w:rsidP="001B4910">
            <w:pPr>
              <w:jc w:val="center"/>
              <w:rPr>
                <w:rFonts w:ascii="Arial" w:hAnsi="Arial" w:cs="Arial"/>
                <w:i/>
                <w:sz w:val="20"/>
                <w:szCs w:val="20"/>
              </w:rPr>
            </w:pPr>
            <w:r w:rsidRPr="001B4910">
              <w:rPr>
                <w:rFonts w:ascii="Arial" w:hAnsi="Arial" w:cs="Arial"/>
                <w:sz w:val="20"/>
                <w:szCs w:val="20"/>
              </w:rPr>
              <w:t>Mode</w:t>
            </w:r>
          </w:p>
        </w:tc>
        <w:tc>
          <w:tcPr>
            <w:tcW w:w="938" w:type="dxa"/>
            <w:tcBorders>
              <w:top w:val="single" w:sz="4" w:space="0" w:color="auto"/>
              <w:bottom w:val="single" w:sz="4" w:space="0" w:color="auto"/>
            </w:tcBorders>
          </w:tcPr>
          <w:p w14:paraId="5AE53468" w14:textId="77777777" w:rsidR="006170A7" w:rsidRPr="001B4910" w:rsidRDefault="006170A7" w:rsidP="001B4910">
            <w:pPr>
              <w:jc w:val="center"/>
              <w:rPr>
                <w:rFonts w:ascii="Arial" w:hAnsi="Arial" w:cs="Arial"/>
                <w:i/>
                <w:sz w:val="20"/>
                <w:szCs w:val="20"/>
              </w:rPr>
            </w:pPr>
            <w:r w:rsidRPr="001B4910">
              <w:rPr>
                <w:rFonts w:ascii="Arial" w:hAnsi="Arial" w:cs="Arial"/>
                <w:sz w:val="20"/>
                <w:szCs w:val="20"/>
              </w:rPr>
              <w:t>Median</w:t>
            </w:r>
          </w:p>
        </w:tc>
      </w:tr>
      <w:tr w:rsidR="006170A7" w:rsidRPr="001B4910" w14:paraId="5F6C996C" w14:textId="77777777" w:rsidTr="001B4910">
        <w:trPr>
          <w:trHeight w:val="323"/>
        </w:trPr>
        <w:tc>
          <w:tcPr>
            <w:tcW w:w="1086" w:type="dxa"/>
            <w:tcBorders>
              <w:top w:val="single" w:sz="4" w:space="0" w:color="auto"/>
            </w:tcBorders>
          </w:tcPr>
          <w:p w14:paraId="0E556C0D" w14:textId="77777777" w:rsidR="006170A7" w:rsidRPr="001B4910" w:rsidRDefault="006170A7" w:rsidP="001B4910">
            <w:pPr>
              <w:rPr>
                <w:rFonts w:ascii="Arial" w:hAnsi="Arial" w:cs="Arial"/>
                <w:sz w:val="20"/>
                <w:szCs w:val="20"/>
              </w:rPr>
            </w:pPr>
            <w:r w:rsidRPr="001B4910">
              <w:rPr>
                <w:rFonts w:ascii="Arial" w:hAnsi="Arial" w:cs="Arial"/>
                <w:sz w:val="20"/>
                <w:szCs w:val="20"/>
              </w:rPr>
              <w:t>Fishery</w:t>
            </w:r>
          </w:p>
        </w:tc>
        <w:tc>
          <w:tcPr>
            <w:tcW w:w="1200" w:type="dxa"/>
            <w:tcBorders>
              <w:top w:val="single" w:sz="4" w:space="0" w:color="auto"/>
            </w:tcBorders>
            <w:noWrap/>
          </w:tcPr>
          <w:p w14:paraId="7E1ED562"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tcBorders>
              <w:top w:val="single" w:sz="4" w:space="0" w:color="auto"/>
            </w:tcBorders>
            <w:noWrap/>
          </w:tcPr>
          <w:p w14:paraId="7FED064F"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tcBorders>
              <w:top w:val="single" w:sz="4" w:space="0" w:color="auto"/>
            </w:tcBorders>
            <w:noWrap/>
          </w:tcPr>
          <w:p w14:paraId="431812B0" w14:textId="77777777" w:rsidR="006170A7" w:rsidRPr="001B4910" w:rsidRDefault="006170A7" w:rsidP="001B4910">
            <w:pPr>
              <w:rPr>
                <w:rFonts w:ascii="Arial" w:hAnsi="Arial" w:cs="Arial"/>
                <w:sz w:val="20"/>
                <w:szCs w:val="20"/>
              </w:rPr>
            </w:pPr>
            <w:r w:rsidRPr="001B4910">
              <w:rPr>
                <w:rFonts w:ascii="Arial" w:hAnsi="Arial" w:cs="Arial"/>
                <w:sz w:val="20"/>
                <w:szCs w:val="20"/>
              </w:rPr>
              <w:t>1991 – 2018</w:t>
            </w:r>
          </w:p>
        </w:tc>
        <w:tc>
          <w:tcPr>
            <w:tcW w:w="1584" w:type="dxa"/>
            <w:tcBorders>
              <w:top w:val="single" w:sz="4" w:space="0" w:color="auto"/>
            </w:tcBorders>
            <w:noWrap/>
          </w:tcPr>
          <w:p w14:paraId="0D91CBDF"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tcBorders>
              <w:top w:val="single" w:sz="4" w:space="0" w:color="auto"/>
            </w:tcBorders>
            <w:noWrap/>
          </w:tcPr>
          <w:p w14:paraId="2D46ED00" w14:textId="77777777" w:rsidR="006170A7" w:rsidRPr="001B4910" w:rsidRDefault="006170A7" w:rsidP="001B4910">
            <w:pPr>
              <w:rPr>
                <w:rFonts w:ascii="Arial" w:hAnsi="Arial" w:cs="Arial"/>
                <w:sz w:val="20"/>
                <w:szCs w:val="20"/>
              </w:rPr>
            </w:pPr>
            <w:r w:rsidRPr="001B4910">
              <w:rPr>
                <w:rFonts w:ascii="Arial" w:hAnsi="Arial" w:cs="Arial"/>
                <w:sz w:val="20"/>
                <w:szCs w:val="20"/>
              </w:rPr>
              <w:t>7,729</w:t>
            </w:r>
          </w:p>
        </w:tc>
        <w:tc>
          <w:tcPr>
            <w:tcW w:w="735" w:type="dxa"/>
            <w:tcBorders>
              <w:top w:val="single" w:sz="4" w:space="0" w:color="auto"/>
            </w:tcBorders>
            <w:vAlign w:val="center"/>
          </w:tcPr>
          <w:p w14:paraId="14FEDB51"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76</w:t>
            </w:r>
          </w:p>
        </w:tc>
        <w:tc>
          <w:tcPr>
            <w:tcW w:w="922" w:type="dxa"/>
            <w:tcBorders>
              <w:top w:val="single" w:sz="4" w:space="0" w:color="auto"/>
            </w:tcBorders>
            <w:vAlign w:val="center"/>
          </w:tcPr>
          <w:p w14:paraId="10305C64"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123</w:t>
            </w:r>
          </w:p>
        </w:tc>
        <w:tc>
          <w:tcPr>
            <w:tcW w:w="920" w:type="dxa"/>
            <w:tcBorders>
              <w:top w:val="single" w:sz="4" w:space="0" w:color="auto"/>
            </w:tcBorders>
            <w:vAlign w:val="center"/>
          </w:tcPr>
          <w:p w14:paraId="2A551104"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27</w:t>
            </w:r>
          </w:p>
        </w:tc>
        <w:tc>
          <w:tcPr>
            <w:tcW w:w="929" w:type="dxa"/>
            <w:tcBorders>
              <w:top w:val="single" w:sz="4" w:space="0" w:color="auto"/>
            </w:tcBorders>
            <w:vAlign w:val="center"/>
          </w:tcPr>
          <w:p w14:paraId="1C7A9222"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75</w:t>
            </w:r>
          </w:p>
        </w:tc>
        <w:tc>
          <w:tcPr>
            <w:tcW w:w="938" w:type="dxa"/>
            <w:tcBorders>
              <w:top w:val="single" w:sz="4" w:space="0" w:color="auto"/>
            </w:tcBorders>
            <w:vAlign w:val="center"/>
          </w:tcPr>
          <w:p w14:paraId="2544E75D"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77</w:t>
            </w:r>
          </w:p>
        </w:tc>
      </w:tr>
      <w:tr w:rsidR="006170A7" w:rsidRPr="001B4910" w14:paraId="761B636C" w14:textId="77777777" w:rsidTr="001B4910">
        <w:trPr>
          <w:trHeight w:val="360"/>
        </w:trPr>
        <w:tc>
          <w:tcPr>
            <w:tcW w:w="1086" w:type="dxa"/>
            <w:shd w:val="clear" w:color="auto" w:fill="D9D9D9" w:themeFill="background1" w:themeFillShade="D9"/>
          </w:tcPr>
          <w:p w14:paraId="6446BEBE" w14:textId="77777777" w:rsidR="006170A7" w:rsidRPr="001B4910" w:rsidRDefault="006170A7" w:rsidP="001B4910">
            <w:pPr>
              <w:rPr>
                <w:rFonts w:ascii="Arial" w:hAnsi="Arial" w:cs="Arial"/>
                <w:sz w:val="20"/>
                <w:szCs w:val="20"/>
              </w:rPr>
            </w:pPr>
            <w:r w:rsidRPr="001B4910">
              <w:rPr>
                <w:rFonts w:ascii="Arial" w:hAnsi="Arial" w:cs="Arial"/>
                <w:sz w:val="20"/>
                <w:szCs w:val="20"/>
              </w:rPr>
              <w:t>Fishery</w:t>
            </w:r>
          </w:p>
        </w:tc>
        <w:tc>
          <w:tcPr>
            <w:tcW w:w="1200" w:type="dxa"/>
            <w:shd w:val="clear" w:color="auto" w:fill="D9D9D9" w:themeFill="background1" w:themeFillShade="D9"/>
            <w:noWrap/>
          </w:tcPr>
          <w:p w14:paraId="09105831"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shd w:val="clear" w:color="auto" w:fill="D9D9D9" w:themeFill="background1" w:themeFillShade="D9"/>
            <w:noWrap/>
          </w:tcPr>
          <w:p w14:paraId="5314091F"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shd w:val="clear" w:color="auto" w:fill="D9D9D9" w:themeFill="background1" w:themeFillShade="D9"/>
            <w:noWrap/>
          </w:tcPr>
          <w:p w14:paraId="42AEC261" w14:textId="77777777" w:rsidR="006170A7" w:rsidRPr="001B4910" w:rsidRDefault="006170A7" w:rsidP="001B4910">
            <w:pPr>
              <w:rPr>
                <w:rFonts w:ascii="Arial" w:hAnsi="Arial" w:cs="Arial"/>
                <w:sz w:val="20"/>
                <w:szCs w:val="20"/>
              </w:rPr>
            </w:pPr>
            <w:r w:rsidRPr="001B4910">
              <w:rPr>
                <w:rFonts w:ascii="Arial" w:hAnsi="Arial" w:cs="Arial"/>
                <w:sz w:val="20"/>
                <w:szCs w:val="20"/>
              </w:rPr>
              <w:t>1991 – 2018</w:t>
            </w:r>
          </w:p>
        </w:tc>
        <w:tc>
          <w:tcPr>
            <w:tcW w:w="1584" w:type="dxa"/>
            <w:shd w:val="clear" w:color="auto" w:fill="D9D9D9" w:themeFill="background1" w:themeFillShade="D9"/>
            <w:noWrap/>
          </w:tcPr>
          <w:p w14:paraId="4563CE17"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shd w:val="clear" w:color="auto" w:fill="D9D9D9" w:themeFill="background1" w:themeFillShade="D9"/>
            <w:noWrap/>
          </w:tcPr>
          <w:p w14:paraId="20E633CE" w14:textId="0D56C3A2" w:rsidR="006170A7" w:rsidRPr="001B4910" w:rsidRDefault="003E194F" w:rsidP="001B4910">
            <w:pPr>
              <w:rPr>
                <w:rFonts w:ascii="Arial" w:hAnsi="Arial" w:cs="Arial"/>
                <w:sz w:val="20"/>
                <w:szCs w:val="20"/>
              </w:rPr>
            </w:pPr>
            <w:r>
              <w:rPr>
                <w:rFonts w:ascii="Arial" w:hAnsi="Arial" w:cs="Arial"/>
                <w:sz w:val="20"/>
                <w:szCs w:val="20"/>
              </w:rPr>
              <w:t>6,602</w:t>
            </w:r>
          </w:p>
        </w:tc>
        <w:tc>
          <w:tcPr>
            <w:tcW w:w="735" w:type="dxa"/>
            <w:shd w:val="clear" w:color="auto" w:fill="D9D9D9" w:themeFill="background1" w:themeFillShade="D9"/>
            <w:vAlign w:val="center"/>
          </w:tcPr>
          <w:p w14:paraId="3A5E2B72" w14:textId="79B749CE" w:rsidR="006170A7" w:rsidRPr="001B4910" w:rsidRDefault="006170A7" w:rsidP="003E194F">
            <w:pPr>
              <w:jc w:val="center"/>
              <w:rPr>
                <w:rFonts w:ascii="Arial" w:hAnsi="Arial" w:cs="Arial"/>
                <w:sz w:val="20"/>
                <w:szCs w:val="20"/>
              </w:rPr>
            </w:pPr>
            <w:r w:rsidRPr="001B4910">
              <w:rPr>
                <w:rFonts w:ascii="Arial" w:hAnsi="Arial" w:cs="Arial"/>
                <w:sz w:val="20"/>
                <w:szCs w:val="20"/>
              </w:rPr>
              <w:t>7</w:t>
            </w:r>
            <w:r w:rsidR="003E194F">
              <w:rPr>
                <w:rFonts w:ascii="Arial" w:hAnsi="Arial" w:cs="Arial"/>
                <w:sz w:val="20"/>
                <w:szCs w:val="20"/>
              </w:rPr>
              <w:t>9</w:t>
            </w:r>
          </w:p>
        </w:tc>
        <w:tc>
          <w:tcPr>
            <w:tcW w:w="922" w:type="dxa"/>
            <w:shd w:val="clear" w:color="auto" w:fill="D9D9D9" w:themeFill="background1" w:themeFillShade="D9"/>
            <w:vAlign w:val="center"/>
          </w:tcPr>
          <w:p w14:paraId="49B58470" w14:textId="106C243F" w:rsidR="006170A7" w:rsidRPr="001B4910" w:rsidRDefault="00D20A5E" w:rsidP="001B4910">
            <w:pPr>
              <w:jc w:val="center"/>
              <w:rPr>
                <w:rFonts w:ascii="Arial" w:hAnsi="Arial" w:cs="Arial"/>
                <w:sz w:val="20"/>
                <w:szCs w:val="20"/>
              </w:rPr>
            </w:pPr>
            <w:r w:rsidRPr="001B4910">
              <w:rPr>
                <w:rFonts w:ascii="Arial" w:hAnsi="Arial" w:cs="Arial"/>
                <w:sz w:val="20"/>
                <w:szCs w:val="20"/>
              </w:rPr>
              <w:t>123</w:t>
            </w:r>
          </w:p>
        </w:tc>
        <w:tc>
          <w:tcPr>
            <w:tcW w:w="920" w:type="dxa"/>
            <w:shd w:val="clear" w:color="auto" w:fill="D9D9D9" w:themeFill="background1" w:themeFillShade="D9"/>
            <w:vAlign w:val="center"/>
          </w:tcPr>
          <w:p w14:paraId="53A6963A" w14:textId="77777777" w:rsidR="006170A7" w:rsidRPr="001B4910" w:rsidRDefault="006170A7" w:rsidP="001B4910">
            <w:pPr>
              <w:jc w:val="center"/>
              <w:rPr>
                <w:rFonts w:ascii="Arial" w:hAnsi="Arial" w:cs="Arial"/>
                <w:sz w:val="20"/>
                <w:szCs w:val="20"/>
              </w:rPr>
            </w:pPr>
            <w:r w:rsidRPr="001B4910">
              <w:rPr>
                <w:rFonts w:ascii="Arial" w:hAnsi="Arial" w:cs="Arial"/>
                <w:i/>
                <w:color w:val="A6A6A6" w:themeColor="background1" w:themeShade="A6"/>
                <w:sz w:val="20"/>
                <w:szCs w:val="20"/>
              </w:rPr>
              <w:t>NA</w:t>
            </w:r>
          </w:p>
        </w:tc>
        <w:tc>
          <w:tcPr>
            <w:tcW w:w="929" w:type="dxa"/>
            <w:shd w:val="clear" w:color="auto" w:fill="D9D9D9" w:themeFill="background1" w:themeFillShade="D9"/>
            <w:vAlign w:val="center"/>
          </w:tcPr>
          <w:p w14:paraId="38DE0B3C"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75</w:t>
            </w:r>
          </w:p>
        </w:tc>
        <w:tc>
          <w:tcPr>
            <w:tcW w:w="938" w:type="dxa"/>
            <w:shd w:val="clear" w:color="auto" w:fill="D9D9D9" w:themeFill="background1" w:themeFillShade="D9"/>
            <w:vAlign w:val="center"/>
          </w:tcPr>
          <w:p w14:paraId="3961C04F" w14:textId="608FE89E" w:rsidR="006170A7" w:rsidRPr="001B4910" w:rsidRDefault="003E194F" w:rsidP="001B4910">
            <w:pPr>
              <w:jc w:val="center"/>
              <w:rPr>
                <w:rFonts w:ascii="Arial" w:hAnsi="Arial" w:cs="Arial"/>
                <w:sz w:val="20"/>
                <w:szCs w:val="20"/>
              </w:rPr>
            </w:pPr>
            <w:r>
              <w:rPr>
                <w:rFonts w:ascii="Arial" w:hAnsi="Arial" w:cs="Arial"/>
                <w:sz w:val="20"/>
                <w:szCs w:val="20"/>
              </w:rPr>
              <w:t>79</w:t>
            </w:r>
          </w:p>
        </w:tc>
      </w:tr>
      <w:tr w:rsidR="006170A7" w:rsidRPr="001B4910" w14:paraId="22110A8C" w14:textId="77777777" w:rsidTr="001B4910">
        <w:trPr>
          <w:trHeight w:val="288"/>
        </w:trPr>
        <w:tc>
          <w:tcPr>
            <w:tcW w:w="1086" w:type="dxa"/>
          </w:tcPr>
          <w:p w14:paraId="13C22671"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Fishery </w:t>
            </w:r>
          </w:p>
        </w:tc>
        <w:tc>
          <w:tcPr>
            <w:tcW w:w="1200" w:type="dxa"/>
            <w:noWrap/>
          </w:tcPr>
          <w:p w14:paraId="1A496870"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noWrap/>
          </w:tcPr>
          <w:p w14:paraId="0D384AAF"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noWrap/>
          </w:tcPr>
          <w:p w14:paraId="4395E5AE"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1991 – 2018 </w:t>
            </w:r>
          </w:p>
        </w:tc>
        <w:tc>
          <w:tcPr>
            <w:tcW w:w="1584" w:type="dxa"/>
            <w:noWrap/>
          </w:tcPr>
          <w:p w14:paraId="68991056" w14:textId="77777777" w:rsidR="006170A7" w:rsidRPr="001B4910" w:rsidRDefault="006170A7" w:rsidP="001B4910">
            <w:pPr>
              <w:rPr>
                <w:rFonts w:ascii="Arial" w:hAnsi="Arial" w:cs="Arial"/>
                <w:sz w:val="20"/>
                <w:szCs w:val="20"/>
              </w:rPr>
            </w:pPr>
            <w:r w:rsidRPr="001B4910">
              <w:rPr>
                <w:rFonts w:ascii="Arial" w:hAnsi="Arial" w:cs="Arial"/>
                <w:sz w:val="20"/>
                <w:szCs w:val="20"/>
              </w:rPr>
              <w:t>Jan - April</w:t>
            </w:r>
          </w:p>
        </w:tc>
        <w:tc>
          <w:tcPr>
            <w:tcW w:w="1066" w:type="dxa"/>
            <w:noWrap/>
          </w:tcPr>
          <w:p w14:paraId="5314A20F" w14:textId="77777777" w:rsidR="006170A7" w:rsidRPr="001B4910" w:rsidRDefault="006170A7" w:rsidP="001B4910">
            <w:pPr>
              <w:rPr>
                <w:rFonts w:ascii="Arial" w:hAnsi="Arial" w:cs="Arial"/>
                <w:sz w:val="20"/>
                <w:szCs w:val="20"/>
              </w:rPr>
            </w:pPr>
            <w:r w:rsidRPr="001B4910">
              <w:rPr>
                <w:rFonts w:ascii="Arial" w:hAnsi="Arial" w:cs="Arial"/>
                <w:sz w:val="20"/>
                <w:szCs w:val="20"/>
              </w:rPr>
              <w:t>178,660</w:t>
            </w:r>
          </w:p>
        </w:tc>
        <w:tc>
          <w:tcPr>
            <w:tcW w:w="735" w:type="dxa"/>
            <w:vAlign w:val="center"/>
          </w:tcPr>
          <w:p w14:paraId="599A0C17"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81</w:t>
            </w:r>
          </w:p>
        </w:tc>
        <w:tc>
          <w:tcPr>
            <w:tcW w:w="922" w:type="dxa"/>
            <w:vAlign w:val="center"/>
          </w:tcPr>
          <w:p w14:paraId="05CEA4C0"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139</w:t>
            </w:r>
          </w:p>
        </w:tc>
        <w:tc>
          <w:tcPr>
            <w:tcW w:w="920" w:type="dxa"/>
            <w:vAlign w:val="center"/>
          </w:tcPr>
          <w:p w14:paraId="63931DC8"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14</w:t>
            </w:r>
          </w:p>
        </w:tc>
        <w:tc>
          <w:tcPr>
            <w:tcW w:w="929" w:type="dxa"/>
            <w:vAlign w:val="center"/>
          </w:tcPr>
          <w:p w14:paraId="1DEA7F2A"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82</w:t>
            </w:r>
          </w:p>
        </w:tc>
        <w:tc>
          <w:tcPr>
            <w:tcW w:w="938" w:type="dxa"/>
            <w:vAlign w:val="center"/>
          </w:tcPr>
          <w:p w14:paraId="481D2B40"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82</w:t>
            </w:r>
          </w:p>
        </w:tc>
      </w:tr>
      <w:tr w:rsidR="006170A7" w:rsidRPr="001B4910" w14:paraId="5EA27EDE" w14:textId="77777777" w:rsidTr="006170A7">
        <w:trPr>
          <w:trHeight w:val="300"/>
        </w:trPr>
        <w:tc>
          <w:tcPr>
            <w:tcW w:w="1086" w:type="dxa"/>
          </w:tcPr>
          <w:p w14:paraId="02CE5D9A"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Fishery </w:t>
            </w:r>
          </w:p>
        </w:tc>
        <w:tc>
          <w:tcPr>
            <w:tcW w:w="1200" w:type="dxa"/>
            <w:noWrap/>
          </w:tcPr>
          <w:p w14:paraId="41E98E06"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noWrap/>
          </w:tcPr>
          <w:p w14:paraId="37FA550C"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noWrap/>
          </w:tcPr>
          <w:p w14:paraId="199D882D" w14:textId="77777777" w:rsidR="006170A7" w:rsidRPr="001B4910" w:rsidRDefault="006170A7" w:rsidP="001B4910">
            <w:pPr>
              <w:rPr>
                <w:rFonts w:ascii="Arial" w:hAnsi="Arial" w:cs="Arial"/>
                <w:sz w:val="20"/>
                <w:szCs w:val="20"/>
              </w:rPr>
            </w:pPr>
            <w:r w:rsidRPr="001B4910">
              <w:rPr>
                <w:rFonts w:ascii="Arial" w:hAnsi="Arial" w:cs="Arial"/>
                <w:sz w:val="20"/>
                <w:szCs w:val="20"/>
              </w:rPr>
              <w:t>1991 – 2018</w:t>
            </w:r>
          </w:p>
        </w:tc>
        <w:tc>
          <w:tcPr>
            <w:tcW w:w="1584" w:type="dxa"/>
            <w:noWrap/>
          </w:tcPr>
          <w:p w14:paraId="4B7DDF84" w14:textId="77777777" w:rsidR="006170A7" w:rsidRPr="001B4910" w:rsidRDefault="006170A7" w:rsidP="001B4910">
            <w:pPr>
              <w:rPr>
                <w:rFonts w:ascii="Arial" w:hAnsi="Arial" w:cs="Arial"/>
                <w:sz w:val="20"/>
                <w:szCs w:val="20"/>
              </w:rPr>
            </w:pPr>
            <w:r w:rsidRPr="001B4910">
              <w:rPr>
                <w:rFonts w:ascii="Arial" w:hAnsi="Arial" w:cs="Arial"/>
                <w:sz w:val="20"/>
                <w:szCs w:val="20"/>
              </w:rPr>
              <w:t>Jan - April</w:t>
            </w:r>
          </w:p>
        </w:tc>
        <w:tc>
          <w:tcPr>
            <w:tcW w:w="1066" w:type="dxa"/>
            <w:noWrap/>
          </w:tcPr>
          <w:p w14:paraId="36F4BB7F" w14:textId="77777777" w:rsidR="006170A7" w:rsidRPr="001B4910" w:rsidRDefault="006170A7" w:rsidP="001B4910">
            <w:pPr>
              <w:rPr>
                <w:rFonts w:ascii="Arial" w:hAnsi="Arial" w:cs="Arial"/>
                <w:sz w:val="20"/>
                <w:szCs w:val="20"/>
              </w:rPr>
            </w:pPr>
            <w:r w:rsidRPr="001B4910">
              <w:rPr>
                <w:rFonts w:ascii="Arial" w:hAnsi="Arial" w:cs="Arial"/>
                <w:sz w:val="20"/>
                <w:szCs w:val="20"/>
              </w:rPr>
              <w:t>155,633</w:t>
            </w:r>
          </w:p>
        </w:tc>
        <w:tc>
          <w:tcPr>
            <w:tcW w:w="735" w:type="dxa"/>
            <w:vAlign w:val="center"/>
          </w:tcPr>
          <w:p w14:paraId="65C9CA3B"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84</w:t>
            </w:r>
          </w:p>
        </w:tc>
        <w:tc>
          <w:tcPr>
            <w:tcW w:w="922" w:type="dxa"/>
            <w:vAlign w:val="center"/>
          </w:tcPr>
          <w:p w14:paraId="09602423"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139</w:t>
            </w:r>
          </w:p>
        </w:tc>
        <w:tc>
          <w:tcPr>
            <w:tcW w:w="920" w:type="dxa"/>
            <w:vAlign w:val="center"/>
          </w:tcPr>
          <w:p w14:paraId="4856F901" w14:textId="2899FD63" w:rsidR="006170A7" w:rsidRPr="001B4910" w:rsidRDefault="00D20A5E" w:rsidP="001B4910">
            <w:pPr>
              <w:jc w:val="center"/>
              <w:rPr>
                <w:rFonts w:ascii="Arial" w:hAnsi="Arial" w:cs="Arial"/>
                <w:sz w:val="20"/>
                <w:szCs w:val="20"/>
              </w:rPr>
            </w:pPr>
            <w:r w:rsidRPr="001B4910">
              <w:rPr>
                <w:rFonts w:ascii="Arial" w:hAnsi="Arial" w:cs="Arial"/>
                <w:i/>
                <w:color w:val="BFBFBF" w:themeColor="background1" w:themeShade="BF"/>
                <w:sz w:val="20"/>
                <w:szCs w:val="20"/>
              </w:rPr>
              <w:t>NA</w:t>
            </w:r>
          </w:p>
        </w:tc>
        <w:tc>
          <w:tcPr>
            <w:tcW w:w="929" w:type="dxa"/>
            <w:vAlign w:val="center"/>
          </w:tcPr>
          <w:p w14:paraId="4B9B6E3C"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82</w:t>
            </w:r>
          </w:p>
        </w:tc>
        <w:tc>
          <w:tcPr>
            <w:tcW w:w="938" w:type="dxa"/>
            <w:vAlign w:val="center"/>
          </w:tcPr>
          <w:p w14:paraId="24E0C997"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84</w:t>
            </w:r>
          </w:p>
        </w:tc>
      </w:tr>
      <w:tr w:rsidR="006170A7" w:rsidRPr="001B4910" w14:paraId="569E64BF" w14:textId="77777777" w:rsidTr="006170A7">
        <w:trPr>
          <w:trHeight w:val="300"/>
        </w:trPr>
        <w:tc>
          <w:tcPr>
            <w:tcW w:w="1086" w:type="dxa"/>
          </w:tcPr>
          <w:p w14:paraId="1AEA02C3" w14:textId="77777777" w:rsidR="006170A7" w:rsidRPr="001B4910" w:rsidRDefault="006170A7" w:rsidP="001B4910">
            <w:pPr>
              <w:rPr>
                <w:rFonts w:ascii="Arial" w:hAnsi="Arial" w:cs="Arial"/>
                <w:sz w:val="20"/>
                <w:szCs w:val="20"/>
              </w:rPr>
            </w:pPr>
            <w:r w:rsidRPr="001B4910">
              <w:rPr>
                <w:rFonts w:ascii="Arial" w:hAnsi="Arial" w:cs="Arial"/>
                <w:sz w:val="20"/>
                <w:szCs w:val="20"/>
              </w:rPr>
              <w:t>Survey</w:t>
            </w:r>
          </w:p>
        </w:tc>
        <w:tc>
          <w:tcPr>
            <w:tcW w:w="1200" w:type="dxa"/>
            <w:noWrap/>
          </w:tcPr>
          <w:p w14:paraId="1E78ACD6"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noWrap/>
          </w:tcPr>
          <w:p w14:paraId="168B57D9"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noWrap/>
          </w:tcPr>
          <w:p w14:paraId="7AB5EBF5" w14:textId="77777777" w:rsidR="006170A7" w:rsidRPr="001B4910" w:rsidRDefault="006170A7" w:rsidP="001B4910">
            <w:pPr>
              <w:rPr>
                <w:rFonts w:ascii="Arial" w:hAnsi="Arial" w:cs="Arial"/>
                <w:sz w:val="20"/>
                <w:szCs w:val="20"/>
              </w:rPr>
            </w:pPr>
            <w:r w:rsidRPr="001B4910">
              <w:rPr>
                <w:rFonts w:ascii="Arial" w:hAnsi="Arial" w:cs="Arial"/>
                <w:sz w:val="20"/>
                <w:szCs w:val="20"/>
              </w:rPr>
              <w:t>1991 – 2018*</w:t>
            </w:r>
          </w:p>
        </w:tc>
        <w:tc>
          <w:tcPr>
            <w:tcW w:w="1584" w:type="dxa"/>
            <w:noWrap/>
          </w:tcPr>
          <w:p w14:paraId="302A04D3"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noWrap/>
          </w:tcPr>
          <w:p w14:paraId="5707DF01" w14:textId="77777777" w:rsidR="006170A7" w:rsidRPr="001B4910" w:rsidRDefault="006170A7" w:rsidP="001B4910">
            <w:pPr>
              <w:rPr>
                <w:rFonts w:ascii="Arial" w:hAnsi="Arial" w:cs="Arial"/>
                <w:sz w:val="20"/>
                <w:szCs w:val="20"/>
              </w:rPr>
            </w:pPr>
            <w:r w:rsidRPr="001B4910">
              <w:rPr>
                <w:rFonts w:ascii="Arial" w:hAnsi="Arial" w:cs="Arial"/>
                <w:sz w:val="20"/>
                <w:szCs w:val="20"/>
              </w:rPr>
              <w:t>71,207</w:t>
            </w:r>
          </w:p>
        </w:tc>
        <w:tc>
          <w:tcPr>
            <w:tcW w:w="735" w:type="dxa"/>
            <w:vAlign w:val="center"/>
          </w:tcPr>
          <w:p w14:paraId="640306B9"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59</w:t>
            </w:r>
          </w:p>
        </w:tc>
        <w:tc>
          <w:tcPr>
            <w:tcW w:w="922" w:type="dxa"/>
            <w:vAlign w:val="center"/>
          </w:tcPr>
          <w:p w14:paraId="6325CD7B"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117</w:t>
            </w:r>
          </w:p>
        </w:tc>
        <w:tc>
          <w:tcPr>
            <w:tcW w:w="920" w:type="dxa"/>
            <w:vAlign w:val="center"/>
          </w:tcPr>
          <w:p w14:paraId="3C48E590"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w:t>
            </w:r>
          </w:p>
        </w:tc>
        <w:tc>
          <w:tcPr>
            <w:tcW w:w="929" w:type="dxa"/>
            <w:vAlign w:val="center"/>
          </w:tcPr>
          <w:p w14:paraId="539BA525"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57</w:t>
            </w:r>
          </w:p>
        </w:tc>
        <w:tc>
          <w:tcPr>
            <w:tcW w:w="938" w:type="dxa"/>
            <w:vAlign w:val="center"/>
          </w:tcPr>
          <w:p w14:paraId="151B627F"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59</w:t>
            </w:r>
          </w:p>
        </w:tc>
      </w:tr>
      <w:tr w:rsidR="006170A7" w:rsidRPr="001B4910" w14:paraId="73DB74CA" w14:textId="77777777" w:rsidTr="001B4910">
        <w:trPr>
          <w:trHeight w:val="369"/>
        </w:trPr>
        <w:tc>
          <w:tcPr>
            <w:tcW w:w="1086" w:type="dxa"/>
            <w:tcBorders>
              <w:bottom w:val="single" w:sz="4" w:space="0" w:color="auto"/>
            </w:tcBorders>
            <w:shd w:val="clear" w:color="auto" w:fill="D9D9D9" w:themeFill="background1" w:themeFillShade="D9"/>
          </w:tcPr>
          <w:p w14:paraId="158BDF96" w14:textId="77777777" w:rsidR="006170A7" w:rsidRPr="001B4910" w:rsidRDefault="006170A7" w:rsidP="001B4910">
            <w:pPr>
              <w:rPr>
                <w:rFonts w:ascii="Arial" w:hAnsi="Arial" w:cs="Arial"/>
                <w:sz w:val="20"/>
                <w:szCs w:val="20"/>
              </w:rPr>
            </w:pPr>
            <w:r w:rsidRPr="001B4910">
              <w:rPr>
                <w:rFonts w:ascii="Arial" w:hAnsi="Arial" w:cs="Arial"/>
                <w:sz w:val="20"/>
                <w:szCs w:val="20"/>
              </w:rPr>
              <w:t>Survey</w:t>
            </w:r>
          </w:p>
        </w:tc>
        <w:tc>
          <w:tcPr>
            <w:tcW w:w="1200" w:type="dxa"/>
            <w:tcBorders>
              <w:bottom w:val="single" w:sz="4" w:space="0" w:color="auto"/>
            </w:tcBorders>
            <w:shd w:val="clear" w:color="auto" w:fill="D9D9D9" w:themeFill="background1" w:themeFillShade="D9"/>
            <w:noWrap/>
          </w:tcPr>
          <w:p w14:paraId="320D3C0F" w14:textId="77777777" w:rsidR="006170A7" w:rsidRPr="001B4910" w:rsidRDefault="006170A7" w:rsidP="001B4910">
            <w:pPr>
              <w:rPr>
                <w:rFonts w:ascii="Arial" w:hAnsi="Arial" w:cs="Arial"/>
                <w:sz w:val="20"/>
                <w:szCs w:val="20"/>
              </w:rPr>
            </w:pPr>
            <w:r w:rsidRPr="001B4910">
              <w:rPr>
                <w:rFonts w:ascii="Arial" w:hAnsi="Arial" w:cs="Arial"/>
                <w:sz w:val="20"/>
                <w:szCs w:val="20"/>
              </w:rPr>
              <w:t>Aleutian</w:t>
            </w:r>
          </w:p>
        </w:tc>
        <w:tc>
          <w:tcPr>
            <w:tcW w:w="1620" w:type="dxa"/>
            <w:tcBorders>
              <w:bottom w:val="single" w:sz="4" w:space="0" w:color="auto"/>
            </w:tcBorders>
            <w:shd w:val="clear" w:color="auto" w:fill="D9D9D9" w:themeFill="background1" w:themeFillShade="D9"/>
            <w:noWrap/>
          </w:tcPr>
          <w:p w14:paraId="40C5D8A0"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tcBorders>
              <w:bottom w:val="single" w:sz="4" w:space="0" w:color="auto"/>
            </w:tcBorders>
            <w:shd w:val="clear" w:color="auto" w:fill="D9D9D9" w:themeFill="background1" w:themeFillShade="D9"/>
            <w:noWrap/>
          </w:tcPr>
          <w:p w14:paraId="01144F6A" w14:textId="77777777" w:rsidR="006170A7" w:rsidRPr="001B4910" w:rsidRDefault="006170A7" w:rsidP="001B4910">
            <w:pPr>
              <w:rPr>
                <w:rFonts w:ascii="Arial" w:hAnsi="Arial" w:cs="Arial"/>
                <w:sz w:val="20"/>
                <w:szCs w:val="20"/>
              </w:rPr>
            </w:pPr>
            <w:r w:rsidRPr="001B4910">
              <w:rPr>
                <w:rFonts w:ascii="Arial" w:hAnsi="Arial" w:cs="Arial"/>
                <w:sz w:val="20"/>
                <w:szCs w:val="20"/>
              </w:rPr>
              <w:t>1991 – 2018*</w:t>
            </w:r>
          </w:p>
        </w:tc>
        <w:tc>
          <w:tcPr>
            <w:tcW w:w="1584" w:type="dxa"/>
            <w:tcBorders>
              <w:bottom w:val="single" w:sz="4" w:space="0" w:color="auto"/>
            </w:tcBorders>
            <w:shd w:val="clear" w:color="auto" w:fill="D9D9D9" w:themeFill="background1" w:themeFillShade="D9"/>
            <w:noWrap/>
          </w:tcPr>
          <w:p w14:paraId="03374E75"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tcBorders>
              <w:bottom w:val="single" w:sz="4" w:space="0" w:color="auto"/>
            </w:tcBorders>
            <w:shd w:val="clear" w:color="auto" w:fill="D9D9D9" w:themeFill="background1" w:themeFillShade="D9"/>
            <w:noWrap/>
          </w:tcPr>
          <w:p w14:paraId="7BC993C7" w14:textId="77777777" w:rsidR="006170A7" w:rsidRPr="001B4910" w:rsidRDefault="006170A7" w:rsidP="001B4910">
            <w:pPr>
              <w:rPr>
                <w:rFonts w:ascii="Arial" w:hAnsi="Arial" w:cs="Arial"/>
                <w:sz w:val="20"/>
                <w:szCs w:val="20"/>
              </w:rPr>
            </w:pPr>
            <w:r w:rsidRPr="001B4910">
              <w:rPr>
                <w:rFonts w:ascii="Arial" w:hAnsi="Arial" w:cs="Arial"/>
                <w:sz w:val="20"/>
                <w:szCs w:val="20"/>
              </w:rPr>
              <w:t>37,404</w:t>
            </w:r>
          </w:p>
        </w:tc>
        <w:tc>
          <w:tcPr>
            <w:tcW w:w="735" w:type="dxa"/>
            <w:tcBorders>
              <w:bottom w:val="single" w:sz="4" w:space="0" w:color="auto"/>
            </w:tcBorders>
            <w:shd w:val="clear" w:color="auto" w:fill="D9D9D9" w:themeFill="background1" w:themeFillShade="D9"/>
            <w:vAlign w:val="center"/>
          </w:tcPr>
          <w:p w14:paraId="7F37243F"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70</w:t>
            </w:r>
          </w:p>
        </w:tc>
        <w:tc>
          <w:tcPr>
            <w:tcW w:w="922" w:type="dxa"/>
            <w:tcBorders>
              <w:bottom w:val="single" w:sz="4" w:space="0" w:color="auto"/>
            </w:tcBorders>
            <w:shd w:val="clear" w:color="auto" w:fill="D9D9D9" w:themeFill="background1" w:themeFillShade="D9"/>
            <w:vAlign w:val="center"/>
          </w:tcPr>
          <w:p w14:paraId="01768C96"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117</w:t>
            </w:r>
          </w:p>
        </w:tc>
        <w:tc>
          <w:tcPr>
            <w:tcW w:w="920" w:type="dxa"/>
            <w:tcBorders>
              <w:bottom w:val="single" w:sz="4" w:space="0" w:color="auto"/>
            </w:tcBorders>
            <w:shd w:val="clear" w:color="auto" w:fill="D9D9D9" w:themeFill="background1" w:themeFillShade="D9"/>
            <w:vAlign w:val="center"/>
          </w:tcPr>
          <w:p w14:paraId="3BFC082C" w14:textId="77777777" w:rsidR="006170A7" w:rsidRPr="001B4910" w:rsidRDefault="006170A7" w:rsidP="001B4910">
            <w:pPr>
              <w:jc w:val="center"/>
              <w:rPr>
                <w:rFonts w:ascii="Arial" w:hAnsi="Arial" w:cs="Arial"/>
                <w:sz w:val="20"/>
                <w:szCs w:val="20"/>
              </w:rPr>
            </w:pPr>
            <w:r w:rsidRPr="001B4910">
              <w:rPr>
                <w:rFonts w:ascii="Arial" w:hAnsi="Arial" w:cs="Arial"/>
                <w:i/>
                <w:color w:val="A6A6A6" w:themeColor="background1" w:themeShade="A6"/>
                <w:sz w:val="20"/>
                <w:szCs w:val="20"/>
              </w:rPr>
              <w:t>NA</w:t>
            </w:r>
          </w:p>
        </w:tc>
        <w:tc>
          <w:tcPr>
            <w:tcW w:w="929" w:type="dxa"/>
            <w:tcBorders>
              <w:bottom w:val="single" w:sz="4" w:space="0" w:color="auto"/>
            </w:tcBorders>
            <w:shd w:val="clear" w:color="auto" w:fill="D9D9D9" w:themeFill="background1" w:themeFillShade="D9"/>
            <w:vAlign w:val="center"/>
          </w:tcPr>
          <w:p w14:paraId="4ED243DF"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65</w:t>
            </w:r>
          </w:p>
        </w:tc>
        <w:tc>
          <w:tcPr>
            <w:tcW w:w="938" w:type="dxa"/>
            <w:tcBorders>
              <w:bottom w:val="single" w:sz="4" w:space="0" w:color="auto"/>
            </w:tcBorders>
            <w:shd w:val="clear" w:color="auto" w:fill="D9D9D9" w:themeFill="background1" w:themeFillShade="D9"/>
            <w:vAlign w:val="center"/>
          </w:tcPr>
          <w:p w14:paraId="738296AE"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68</w:t>
            </w:r>
          </w:p>
        </w:tc>
      </w:tr>
      <w:tr w:rsidR="006170A7" w:rsidRPr="001B4910" w14:paraId="6FEB3B4E" w14:textId="77777777" w:rsidTr="001B4910">
        <w:trPr>
          <w:trHeight w:val="359"/>
        </w:trPr>
        <w:tc>
          <w:tcPr>
            <w:tcW w:w="1086" w:type="dxa"/>
            <w:tcBorders>
              <w:top w:val="single" w:sz="4" w:space="0" w:color="auto"/>
            </w:tcBorders>
          </w:tcPr>
          <w:p w14:paraId="451C52A8" w14:textId="77777777" w:rsidR="006170A7" w:rsidRPr="001B4910" w:rsidRDefault="006170A7" w:rsidP="001B4910">
            <w:pPr>
              <w:rPr>
                <w:rFonts w:ascii="Arial" w:hAnsi="Arial" w:cs="Arial"/>
                <w:sz w:val="20"/>
                <w:szCs w:val="20"/>
              </w:rPr>
            </w:pPr>
            <w:r w:rsidRPr="001B4910">
              <w:rPr>
                <w:rFonts w:ascii="Arial" w:hAnsi="Arial" w:cs="Arial"/>
                <w:sz w:val="20"/>
                <w:szCs w:val="20"/>
              </w:rPr>
              <w:t>Fishery</w:t>
            </w:r>
          </w:p>
        </w:tc>
        <w:tc>
          <w:tcPr>
            <w:tcW w:w="1200" w:type="dxa"/>
            <w:tcBorders>
              <w:top w:val="single" w:sz="4" w:space="0" w:color="auto"/>
            </w:tcBorders>
            <w:noWrap/>
          </w:tcPr>
          <w:p w14:paraId="6A9BD8CF"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tcBorders>
              <w:top w:val="single" w:sz="4" w:space="0" w:color="auto"/>
            </w:tcBorders>
            <w:noWrap/>
          </w:tcPr>
          <w:p w14:paraId="77D97EF9"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tcBorders>
              <w:top w:val="single" w:sz="4" w:space="0" w:color="auto"/>
            </w:tcBorders>
            <w:noWrap/>
          </w:tcPr>
          <w:p w14:paraId="6DE9075F" w14:textId="77777777" w:rsidR="006170A7" w:rsidRPr="001B4910" w:rsidRDefault="006170A7" w:rsidP="001B4910">
            <w:pPr>
              <w:rPr>
                <w:rFonts w:ascii="Arial" w:hAnsi="Arial" w:cs="Arial"/>
                <w:sz w:val="20"/>
                <w:szCs w:val="20"/>
              </w:rPr>
            </w:pPr>
            <w:r w:rsidRPr="001B4910">
              <w:rPr>
                <w:rFonts w:ascii="Arial" w:hAnsi="Arial" w:cs="Arial"/>
                <w:sz w:val="20"/>
                <w:szCs w:val="20"/>
              </w:rPr>
              <w:t>2009 – 2018</w:t>
            </w:r>
          </w:p>
        </w:tc>
        <w:tc>
          <w:tcPr>
            <w:tcW w:w="1584" w:type="dxa"/>
            <w:tcBorders>
              <w:top w:val="single" w:sz="4" w:space="0" w:color="auto"/>
            </w:tcBorders>
            <w:noWrap/>
          </w:tcPr>
          <w:p w14:paraId="1FCCBD87"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tcBorders>
              <w:top w:val="single" w:sz="4" w:space="0" w:color="auto"/>
            </w:tcBorders>
            <w:noWrap/>
          </w:tcPr>
          <w:p w14:paraId="0C8F9AD2" w14:textId="77777777" w:rsidR="006170A7" w:rsidRPr="001B4910" w:rsidRDefault="006170A7" w:rsidP="001B4910">
            <w:pPr>
              <w:rPr>
                <w:rFonts w:ascii="Arial" w:hAnsi="Arial" w:cs="Arial"/>
                <w:sz w:val="20"/>
                <w:szCs w:val="20"/>
              </w:rPr>
            </w:pPr>
            <w:r w:rsidRPr="001B4910">
              <w:rPr>
                <w:rFonts w:ascii="Arial" w:hAnsi="Arial" w:cs="Arial"/>
                <w:sz w:val="20"/>
                <w:szCs w:val="20"/>
              </w:rPr>
              <w:t>13,498</w:t>
            </w:r>
          </w:p>
        </w:tc>
        <w:tc>
          <w:tcPr>
            <w:tcW w:w="735" w:type="dxa"/>
            <w:tcBorders>
              <w:top w:val="single" w:sz="4" w:space="0" w:color="auto"/>
            </w:tcBorders>
            <w:vAlign w:val="center"/>
          </w:tcPr>
          <w:p w14:paraId="7C33154B"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53.5</w:t>
            </w:r>
          </w:p>
        </w:tc>
        <w:tc>
          <w:tcPr>
            <w:tcW w:w="922" w:type="dxa"/>
            <w:tcBorders>
              <w:top w:val="single" w:sz="4" w:space="0" w:color="auto"/>
            </w:tcBorders>
            <w:vAlign w:val="center"/>
          </w:tcPr>
          <w:p w14:paraId="4EC4E87D"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107</w:t>
            </w:r>
          </w:p>
        </w:tc>
        <w:tc>
          <w:tcPr>
            <w:tcW w:w="920" w:type="dxa"/>
            <w:tcBorders>
              <w:top w:val="single" w:sz="4" w:space="0" w:color="auto"/>
            </w:tcBorders>
            <w:vAlign w:val="center"/>
          </w:tcPr>
          <w:p w14:paraId="7317E231"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8</w:t>
            </w:r>
          </w:p>
        </w:tc>
        <w:tc>
          <w:tcPr>
            <w:tcW w:w="929" w:type="dxa"/>
            <w:tcBorders>
              <w:top w:val="single" w:sz="4" w:space="0" w:color="auto"/>
            </w:tcBorders>
            <w:vAlign w:val="center"/>
          </w:tcPr>
          <w:p w14:paraId="764D6962"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48</w:t>
            </w:r>
          </w:p>
        </w:tc>
        <w:tc>
          <w:tcPr>
            <w:tcW w:w="938" w:type="dxa"/>
            <w:tcBorders>
              <w:top w:val="single" w:sz="4" w:space="0" w:color="auto"/>
            </w:tcBorders>
            <w:vAlign w:val="center"/>
          </w:tcPr>
          <w:p w14:paraId="12D0D0E9"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53</w:t>
            </w:r>
          </w:p>
        </w:tc>
      </w:tr>
      <w:tr w:rsidR="006170A7" w:rsidRPr="001B4910" w14:paraId="49836AA6" w14:textId="77777777" w:rsidTr="001B4910">
        <w:trPr>
          <w:trHeight w:val="369"/>
        </w:trPr>
        <w:tc>
          <w:tcPr>
            <w:tcW w:w="1086" w:type="dxa"/>
            <w:shd w:val="clear" w:color="auto" w:fill="D9D9D9" w:themeFill="background1" w:themeFillShade="D9"/>
          </w:tcPr>
          <w:p w14:paraId="2E4F162C" w14:textId="77777777" w:rsidR="006170A7" w:rsidRPr="001B4910" w:rsidRDefault="006170A7" w:rsidP="001B4910">
            <w:pPr>
              <w:rPr>
                <w:rFonts w:ascii="Arial" w:hAnsi="Arial" w:cs="Arial"/>
                <w:sz w:val="20"/>
                <w:szCs w:val="20"/>
              </w:rPr>
            </w:pPr>
            <w:r w:rsidRPr="001B4910">
              <w:rPr>
                <w:rFonts w:ascii="Arial" w:hAnsi="Arial" w:cs="Arial"/>
                <w:sz w:val="20"/>
                <w:szCs w:val="20"/>
              </w:rPr>
              <w:t>Fishery</w:t>
            </w:r>
          </w:p>
        </w:tc>
        <w:tc>
          <w:tcPr>
            <w:tcW w:w="1200" w:type="dxa"/>
            <w:shd w:val="clear" w:color="auto" w:fill="D9D9D9" w:themeFill="background1" w:themeFillShade="D9"/>
            <w:noWrap/>
          </w:tcPr>
          <w:p w14:paraId="2B12731F"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shd w:val="clear" w:color="auto" w:fill="D9D9D9" w:themeFill="background1" w:themeFillShade="D9"/>
            <w:noWrap/>
          </w:tcPr>
          <w:p w14:paraId="7DD73DA1"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shd w:val="clear" w:color="auto" w:fill="D9D9D9" w:themeFill="background1" w:themeFillShade="D9"/>
            <w:noWrap/>
          </w:tcPr>
          <w:p w14:paraId="456453BB" w14:textId="77777777" w:rsidR="006170A7" w:rsidRPr="001B4910" w:rsidRDefault="006170A7" w:rsidP="001B4910">
            <w:pPr>
              <w:rPr>
                <w:rFonts w:ascii="Arial" w:hAnsi="Arial" w:cs="Arial"/>
                <w:sz w:val="20"/>
                <w:szCs w:val="20"/>
              </w:rPr>
            </w:pPr>
            <w:r w:rsidRPr="001B4910">
              <w:rPr>
                <w:rFonts w:ascii="Arial" w:hAnsi="Arial" w:cs="Arial"/>
                <w:sz w:val="20"/>
                <w:szCs w:val="20"/>
              </w:rPr>
              <w:t>2009 – 2018</w:t>
            </w:r>
          </w:p>
        </w:tc>
        <w:tc>
          <w:tcPr>
            <w:tcW w:w="1584" w:type="dxa"/>
            <w:shd w:val="clear" w:color="auto" w:fill="D9D9D9" w:themeFill="background1" w:themeFillShade="D9"/>
            <w:noWrap/>
          </w:tcPr>
          <w:p w14:paraId="34ED0BB8"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shd w:val="clear" w:color="auto" w:fill="D9D9D9" w:themeFill="background1" w:themeFillShade="D9"/>
            <w:noWrap/>
          </w:tcPr>
          <w:p w14:paraId="04E76312" w14:textId="77777777" w:rsidR="006170A7" w:rsidRPr="001B4910" w:rsidRDefault="006170A7" w:rsidP="001B4910">
            <w:pPr>
              <w:rPr>
                <w:rFonts w:ascii="Arial" w:hAnsi="Arial" w:cs="Arial"/>
                <w:sz w:val="20"/>
                <w:szCs w:val="20"/>
              </w:rPr>
            </w:pPr>
            <w:r w:rsidRPr="001B4910">
              <w:rPr>
                <w:rFonts w:ascii="Arial" w:hAnsi="Arial" w:cs="Arial"/>
                <w:sz w:val="20"/>
                <w:szCs w:val="20"/>
              </w:rPr>
              <w:t>7,424</w:t>
            </w:r>
          </w:p>
        </w:tc>
        <w:tc>
          <w:tcPr>
            <w:tcW w:w="735" w:type="dxa"/>
            <w:shd w:val="clear" w:color="auto" w:fill="D9D9D9" w:themeFill="background1" w:themeFillShade="D9"/>
            <w:vAlign w:val="center"/>
          </w:tcPr>
          <w:p w14:paraId="3BD0591E"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61</w:t>
            </w:r>
          </w:p>
        </w:tc>
        <w:tc>
          <w:tcPr>
            <w:tcW w:w="922" w:type="dxa"/>
            <w:shd w:val="clear" w:color="auto" w:fill="D9D9D9" w:themeFill="background1" w:themeFillShade="D9"/>
            <w:vAlign w:val="center"/>
          </w:tcPr>
          <w:p w14:paraId="42F7BADA"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107</w:t>
            </w:r>
          </w:p>
        </w:tc>
        <w:tc>
          <w:tcPr>
            <w:tcW w:w="920" w:type="dxa"/>
            <w:shd w:val="clear" w:color="auto" w:fill="D9D9D9" w:themeFill="background1" w:themeFillShade="D9"/>
            <w:vAlign w:val="center"/>
          </w:tcPr>
          <w:p w14:paraId="34C806B3" w14:textId="77777777" w:rsidR="006170A7" w:rsidRPr="001B4910" w:rsidRDefault="006170A7" w:rsidP="001B4910">
            <w:pPr>
              <w:jc w:val="center"/>
              <w:rPr>
                <w:rFonts w:ascii="Arial" w:hAnsi="Arial" w:cs="Arial"/>
                <w:sz w:val="20"/>
                <w:szCs w:val="20"/>
              </w:rPr>
            </w:pPr>
            <w:r w:rsidRPr="001B4910">
              <w:rPr>
                <w:rFonts w:ascii="Arial" w:hAnsi="Arial" w:cs="Arial"/>
                <w:i/>
                <w:color w:val="A6A6A6" w:themeColor="background1" w:themeShade="A6"/>
                <w:sz w:val="20"/>
                <w:szCs w:val="20"/>
              </w:rPr>
              <w:t>NA</w:t>
            </w:r>
          </w:p>
        </w:tc>
        <w:tc>
          <w:tcPr>
            <w:tcW w:w="929" w:type="dxa"/>
            <w:shd w:val="clear" w:color="auto" w:fill="D9D9D9" w:themeFill="background1" w:themeFillShade="D9"/>
            <w:vAlign w:val="center"/>
          </w:tcPr>
          <w:p w14:paraId="78B5E222"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59</w:t>
            </w:r>
          </w:p>
        </w:tc>
        <w:tc>
          <w:tcPr>
            <w:tcW w:w="938" w:type="dxa"/>
            <w:shd w:val="clear" w:color="auto" w:fill="D9D9D9" w:themeFill="background1" w:themeFillShade="D9"/>
            <w:vAlign w:val="center"/>
          </w:tcPr>
          <w:p w14:paraId="74B11BC6"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61</w:t>
            </w:r>
          </w:p>
        </w:tc>
      </w:tr>
      <w:tr w:rsidR="006170A7" w:rsidRPr="001B4910" w14:paraId="3964899A" w14:textId="77777777" w:rsidTr="006170A7">
        <w:trPr>
          <w:trHeight w:val="300"/>
        </w:trPr>
        <w:tc>
          <w:tcPr>
            <w:tcW w:w="1086" w:type="dxa"/>
          </w:tcPr>
          <w:p w14:paraId="519F358D"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Fishery </w:t>
            </w:r>
          </w:p>
        </w:tc>
        <w:tc>
          <w:tcPr>
            <w:tcW w:w="1200" w:type="dxa"/>
            <w:noWrap/>
          </w:tcPr>
          <w:p w14:paraId="63D6347E"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noWrap/>
          </w:tcPr>
          <w:p w14:paraId="2BA8B08C"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noWrap/>
          </w:tcPr>
          <w:p w14:paraId="0189BE7C"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2009 – 2018 </w:t>
            </w:r>
          </w:p>
        </w:tc>
        <w:tc>
          <w:tcPr>
            <w:tcW w:w="1584" w:type="dxa"/>
            <w:noWrap/>
          </w:tcPr>
          <w:p w14:paraId="1C5D4370" w14:textId="77777777" w:rsidR="006170A7" w:rsidRPr="001B4910" w:rsidRDefault="006170A7" w:rsidP="001B4910">
            <w:pPr>
              <w:rPr>
                <w:rFonts w:ascii="Arial" w:hAnsi="Arial" w:cs="Arial"/>
                <w:sz w:val="20"/>
                <w:szCs w:val="20"/>
              </w:rPr>
            </w:pPr>
            <w:r w:rsidRPr="001B4910">
              <w:rPr>
                <w:rFonts w:ascii="Arial" w:hAnsi="Arial" w:cs="Arial"/>
                <w:sz w:val="20"/>
                <w:szCs w:val="20"/>
              </w:rPr>
              <w:t>Jan - April</w:t>
            </w:r>
          </w:p>
        </w:tc>
        <w:tc>
          <w:tcPr>
            <w:tcW w:w="1066" w:type="dxa"/>
            <w:noWrap/>
          </w:tcPr>
          <w:p w14:paraId="40F0CF7E" w14:textId="77777777" w:rsidR="006170A7" w:rsidRPr="001B4910" w:rsidRDefault="006170A7" w:rsidP="001B4910">
            <w:pPr>
              <w:rPr>
                <w:rFonts w:ascii="Arial" w:hAnsi="Arial" w:cs="Arial"/>
                <w:sz w:val="20"/>
                <w:szCs w:val="20"/>
              </w:rPr>
            </w:pPr>
            <w:r w:rsidRPr="001B4910">
              <w:rPr>
                <w:rFonts w:ascii="Arial" w:hAnsi="Arial" w:cs="Arial"/>
                <w:sz w:val="20"/>
                <w:szCs w:val="20"/>
              </w:rPr>
              <w:t>194,573</w:t>
            </w:r>
          </w:p>
        </w:tc>
        <w:tc>
          <w:tcPr>
            <w:tcW w:w="735" w:type="dxa"/>
            <w:vAlign w:val="center"/>
          </w:tcPr>
          <w:p w14:paraId="7154F5C4"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66</w:t>
            </w:r>
          </w:p>
        </w:tc>
        <w:tc>
          <w:tcPr>
            <w:tcW w:w="922" w:type="dxa"/>
            <w:vAlign w:val="center"/>
          </w:tcPr>
          <w:p w14:paraId="63655264"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122</w:t>
            </w:r>
          </w:p>
        </w:tc>
        <w:tc>
          <w:tcPr>
            <w:tcW w:w="920" w:type="dxa"/>
            <w:vAlign w:val="center"/>
          </w:tcPr>
          <w:p w14:paraId="4116BFA3"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17</w:t>
            </w:r>
          </w:p>
        </w:tc>
        <w:tc>
          <w:tcPr>
            <w:tcW w:w="929" w:type="dxa"/>
            <w:vAlign w:val="center"/>
          </w:tcPr>
          <w:p w14:paraId="20C2ACFA"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67</w:t>
            </w:r>
          </w:p>
        </w:tc>
        <w:tc>
          <w:tcPr>
            <w:tcW w:w="938" w:type="dxa"/>
            <w:vAlign w:val="center"/>
          </w:tcPr>
          <w:p w14:paraId="6772C7B6"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66</w:t>
            </w:r>
          </w:p>
        </w:tc>
      </w:tr>
      <w:tr w:rsidR="006170A7" w:rsidRPr="001B4910" w14:paraId="6BEE79E8" w14:textId="77777777" w:rsidTr="006170A7">
        <w:trPr>
          <w:trHeight w:val="300"/>
        </w:trPr>
        <w:tc>
          <w:tcPr>
            <w:tcW w:w="1086" w:type="dxa"/>
          </w:tcPr>
          <w:p w14:paraId="60FFB5C8" w14:textId="77777777" w:rsidR="006170A7" w:rsidRPr="001B4910" w:rsidRDefault="006170A7" w:rsidP="001B4910">
            <w:pPr>
              <w:rPr>
                <w:rFonts w:ascii="Arial" w:hAnsi="Arial" w:cs="Arial"/>
                <w:sz w:val="20"/>
                <w:szCs w:val="20"/>
              </w:rPr>
            </w:pPr>
            <w:r w:rsidRPr="001B4910">
              <w:rPr>
                <w:rFonts w:ascii="Arial" w:hAnsi="Arial" w:cs="Arial"/>
                <w:sz w:val="20"/>
                <w:szCs w:val="20"/>
              </w:rPr>
              <w:t xml:space="preserve">Fishery </w:t>
            </w:r>
          </w:p>
        </w:tc>
        <w:tc>
          <w:tcPr>
            <w:tcW w:w="1200" w:type="dxa"/>
            <w:noWrap/>
          </w:tcPr>
          <w:p w14:paraId="4CED9585"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noWrap/>
          </w:tcPr>
          <w:p w14:paraId="518DDD51"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noWrap/>
          </w:tcPr>
          <w:p w14:paraId="4A7049A3" w14:textId="77777777" w:rsidR="006170A7" w:rsidRPr="001B4910" w:rsidRDefault="006170A7" w:rsidP="001B4910">
            <w:pPr>
              <w:rPr>
                <w:rFonts w:ascii="Arial" w:hAnsi="Arial" w:cs="Arial"/>
                <w:sz w:val="20"/>
                <w:szCs w:val="20"/>
              </w:rPr>
            </w:pPr>
            <w:r w:rsidRPr="001B4910">
              <w:rPr>
                <w:rFonts w:ascii="Arial" w:hAnsi="Arial" w:cs="Arial"/>
                <w:sz w:val="20"/>
                <w:szCs w:val="20"/>
              </w:rPr>
              <w:t>2009 – 2018</w:t>
            </w:r>
          </w:p>
        </w:tc>
        <w:tc>
          <w:tcPr>
            <w:tcW w:w="1584" w:type="dxa"/>
            <w:noWrap/>
          </w:tcPr>
          <w:p w14:paraId="50C5CA8E" w14:textId="77777777" w:rsidR="006170A7" w:rsidRPr="001B4910" w:rsidRDefault="006170A7" w:rsidP="001B4910">
            <w:pPr>
              <w:rPr>
                <w:rFonts w:ascii="Arial" w:hAnsi="Arial" w:cs="Arial"/>
                <w:sz w:val="20"/>
                <w:szCs w:val="20"/>
              </w:rPr>
            </w:pPr>
            <w:r w:rsidRPr="001B4910">
              <w:rPr>
                <w:rFonts w:ascii="Arial" w:hAnsi="Arial" w:cs="Arial"/>
                <w:sz w:val="20"/>
                <w:szCs w:val="20"/>
              </w:rPr>
              <w:t>Jan - April</w:t>
            </w:r>
          </w:p>
        </w:tc>
        <w:tc>
          <w:tcPr>
            <w:tcW w:w="1066" w:type="dxa"/>
            <w:noWrap/>
          </w:tcPr>
          <w:p w14:paraId="4EF88958" w14:textId="77777777" w:rsidR="006170A7" w:rsidRPr="001B4910" w:rsidRDefault="006170A7" w:rsidP="001B4910">
            <w:pPr>
              <w:rPr>
                <w:rFonts w:ascii="Arial" w:hAnsi="Arial" w:cs="Arial"/>
                <w:sz w:val="20"/>
                <w:szCs w:val="20"/>
              </w:rPr>
            </w:pPr>
            <w:r w:rsidRPr="001B4910">
              <w:rPr>
                <w:rFonts w:ascii="Arial" w:hAnsi="Arial" w:cs="Arial"/>
                <w:sz w:val="20"/>
                <w:szCs w:val="20"/>
              </w:rPr>
              <w:t>133,363</w:t>
            </w:r>
          </w:p>
        </w:tc>
        <w:tc>
          <w:tcPr>
            <w:tcW w:w="735" w:type="dxa"/>
            <w:vAlign w:val="center"/>
          </w:tcPr>
          <w:p w14:paraId="2FB9D40E"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70</w:t>
            </w:r>
          </w:p>
        </w:tc>
        <w:tc>
          <w:tcPr>
            <w:tcW w:w="922" w:type="dxa"/>
            <w:vAlign w:val="center"/>
          </w:tcPr>
          <w:p w14:paraId="0708E3D2"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122</w:t>
            </w:r>
          </w:p>
        </w:tc>
        <w:tc>
          <w:tcPr>
            <w:tcW w:w="920" w:type="dxa"/>
            <w:vAlign w:val="center"/>
          </w:tcPr>
          <w:p w14:paraId="7B18B4BF" w14:textId="77777777" w:rsidR="006170A7" w:rsidRPr="001B4910" w:rsidRDefault="006170A7" w:rsidP="001B4910">
            <w:pPr>
              <w:jc w:val="center"/>
              <w:rPr>
                <w:rFonts w:ascii="Arial" w:hAnsi="Arial" w:cs="Arial"/>
                <w:i/>
                <w:sz w:val="20"/>
                <w:szCs w:val="20"/>
              </w:rPr>
            </w:pPr>
            <w:r w:rsidRPr="001B4910">
              <w:rPr>
                <w:rFonts w:ascii="Arial" w:hAnsi="Arial" w:cs="Arial"/>
                <w:i/>
                <w:color w:val="BFBFBF" w:themeColor="background1" w:themeShade="BF"/>
                <w:sz w:val="20"/>
                <w:szCs w:val="20"/>
              </w:rPr>
              <w:t>NA</w:t>
            </w:r>
          </w:p>
        </w:tc>
        <w:tc>
          <w:tcPr>
            <w:tcW w:w="929" w:type="dxa"/>
            <w:vAlign w:val="center"/>
          </w:tcPr>
          <w:p w14:paraId="7DDAEBD5"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70</w:t>
            </w:r>
          </w:p>
        </w:tc>
        <w:tc>
          <w:tcPr>
            <w:tcW w:w="938" w:type="dxa"/>
            <w:vAlign w:val="center"/>
          </w:tcPr>
          <w:p w14:paraId="529652AC"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69</w:t>
            </w:r>
          </w:p>
        </w:tc>
      </w:tr>
      <w:tr w:rsidR="006170A7" w:rsidRPr="001B4910" w14:paraId="44E0351D" w14:textId="77777777" w:rsidTr="006170A7">
        <w:trPr>
          <w:trHeight w:val="300"/>
        </w:trPr>
        <w:tc>
          <w:tcPr>
            <w:tcW w:w="1086" w:type="dxa"/>
          </w:tcPr>
          <w:p w14:paraId="36C7A8ED" w14:textId="77777777" w:rsidR="006170A7" w:rsidRPr="001B4910" w:rsidRDefault="006170A7" w:rsidP="001B4910">
            <w:pPr>
              <w:rPr>
                <w:rFonts w:ascii="Arial" w:hAnsi="Arial" w:cs="Arial"/>
                <w:sz w:val="20"/>
                <w:szCs w:val="20"/>
              </w:rPr>
            </w:pPr>
            <w:r w:rsidRPr="001B4910">
              <w:rPr>
                <w:rFonts w:ascii="Arial" w:hAnsi="Arial" w:cs="Arial"/>
                <w:sz w:val="20"/>
                <w:szCs w:val="20"/>
              </w:rPr>
              <w:t>Survey</w:t>
            </w:r>
          </w:p>
        </w:tc>
        <w:tc>
          <w:tcPr>
            <w:tcW w:w="1200" w:type="dxa"/>
            <w:noWrap/>
          </w:tcPr>
          <w:p w14:paraId="24A85874"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noWrap/>
          </w:tcPr>
          <w:p w14:paraId="69561123" w14:textId="77777777" w:rsidR="006170A7" w:rsidRPr="001B4910" w:rsidRDefault="006170A7" w:rsidP="001B4910">
            <w:pPr>
              <w:rPr>
                <w:rFonts w:ascii="Arial" w:hAnsi="Arial" w:cs="Arial"/>
                <w:sz w:val="20"/>
                <w:szCs w:val="20"/>
              </w:rPr>
            </w:pPr>
            <w:r w:rsidRPr="001B4910">
              <w:rPr>
                <w:rFonts w:ascii="Arial" w:hAnsi="Arial" w:cs="Arial"/>
                <w:sz w:val="20"/>
                <w:szCs w:val="20"/>
              </w:rPr>
              <w:t>All Lengths</w:t>
            </w:r>
          </w:p>
        </w:tc>
        <w:tc>
          <w:tcPr>
            <w:tcW w:w="1440" w:type="dxa"/>
            <w:noWrap/>
          </w:tcPr>
          <w:p w14:paraId="25DC51FE" w14:textId="77777777" w:rsidR="006170A7" w:rsidRPr="001B4910" w:rsidRDefault="006170A7" w:rsidP="001B4910">
            <w:pPr>
              <w:rPr>
                <w:rFonts w:ascii="Arial" w:hAnsi="Arial" w:cs="Arial"/>
                <w:sz w:val="20"/>
                <w:szCs w:val="20"/>
              </w:rPr>
            </w:pPr>
            <w:r w:rsidRPr="001B4910">
              <w:rPr>
                <w:rFonts w:ascii="Arial" w:hAnsi="Arial" w:cs="Arial"/>
                <w:sz w:val="20"/>
                <w:szCs w:val="20"/>
              </w:rPr>
              <w:t>2009 – 2018</w:t>
            </w:r>
          </w:p>
        </w:tc>
        <w:tc>
          <w:tcPr>
            <w:tcW w:w="1584" w:type="dxa"/>
            <w:noWrap/>
          </w:tcPr>
          <w:p w14:paraId="104254CB"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noWrap/>
          </w:tcPr>
          <w:p w14:paraId="5BBBA937" w14:textId="77777777" w:rsidR="006170A7" w:rsidRPr="001B4910" w:rsidRDefault="006170A7" w:rsidP="001B4910">
            <w:pPr>
              <w:rPr>
                <w:rFonts w:ascii="Arial" w:hAnsi="Arial" w:cs="Arial"/>
                <w:sz w:val="20"/>
                <w:szCs w:val="20"/>
              </w:rPr>
            </w:pPr>
            <w:r w:rsidRPr="001B4910">
              <w:rPr>
                <w:rFonts w:ascii="Arial" w:hAnsi="Arial" w:cs="Arial"/>
                <w:sz w:val="20"/>
                <w:szCs w:val="20"/>
              </w:rPr>
              <w:t>145,442</w:t>
            </w:r>
          </w:p>
        </w:tc>
        <w:tc>
          <w:tcPr>
            <w:tcW w:w="735" w:type="dxa"/>
            <w:vAlign w:val="center"/>
          </w:tcPr>
          <w:p w14:paraId="49578908"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43</w:t>
            </w:r>
          </w:p>
        </w:tc>
        <w:tc>
          <w:tcPr>
            <w:tcW w:w="922" w:type="dxa"/>
            <w:vAlign w:val="center"/>
          </w:tcPr>
          <w:p w14:paraId="3E30E0E2"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110</w:t>
            </w:r>
          </w:p>
        </w:tc>
        <w:tc>
          <w:tcPr>
            <w:tcW w:w="920" w:type="dxa"/>
            <w:vAlign w:val="center"/>
          </w:tcPr>
          <w:p w14:paraId="743003EF" w14:textId="77777777" w:rsidR="006170A7" w:rsidRPr="001B4910" w:rsidRDefault="006170A7" w:rsidP="001B4910">
            <w:pPr>
              <w:jc w:val="center"/>
              <w:rPr>
                <w:rFonts w:ascii="Arial" w:hAnsi="Arial" w:cs="Arial"/>
                <w:i/>
                <w:color w:val="A6A6A6" w:themeColor="background1" w:themeShade="A6"/>
                <w:sz w:val="20"/>
                <w:szCs w:val="20"/>
              </w:rPr>
            </w:pPr>
            <w:r w:rsidRPr="001B4910">
              <w:rPr>
                <w:rFonts w:ascii="Arial" w:hAnsi="Arial" w:cs="Arial"/>
                <w:sz w:val="20"/>
                <w:szCs w:val="20"/>
              </w:rPr>
              <w:t>4</w:t>
            </w:r>
          </w:p>
        </w:tc>
        <w:tc>
          <w:tcPr>
            <w:tcW w:w="929" w:type="dxa"/>
            <w:vAlign w:val="center"/>
          </w:tcPr>
          <w:p w14:paraId="7113CCC0"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46</w:t>
            </w:r>
          </w:p>
        </w:tc>
        <w:tc>
          <w:tcPr>
            <w:tcW w:w="938" w:type="dxa"/>
            <w:vAlign w:val="center"/>
          </w:tcPr>
          <w:p w14:paraId="1FA2D55E"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44</w:t>
            </w:r>
          </w:p>
        </w:tc>
      </w:tr>
      <w:tr w:rsidR="006170A7" w:rsidRPr="001B4910" w14:paraId="48E8BCDE" w14:textId="77777777" w:rsidTr="006170A7">
        <w:trPr>
          <w:trHeight w:val="300"/>
        </w:trPr>
        <w:tc>
          <w:tcPr>
            <w:tcW w:w="1086" w:type="dxa"/>
            <w:tcBorders>
              <w:bottom w:val="single" w:sz="4" w:space="0" w:color="auto"/>
            </w:tcBorders>
            <w:shd w:val="clear" w:color="auto" w:fill="D9D9D9" w:themeFill="background1" w:themeFillShade="D9"/>
          </w:tcPr>
          <w:p w14:paraId="68627BB0" w14:textId="77777777" w:rsidR="006170A7" w:rsidRPr="001B4910" w:rsidRDefault="006170A7" w:rsidP="001B4910">
            <w:pPr>
              <w:rPr>
                <w:rFonts w:ascii="Arial" w:hAnsi="Arial" w:cs="Arial"/>
                <w:sz w:val="20"/>
                <w:szCs w:val="20"/>
              </w:rPr>
            </w:pPr>
            <w:r w:rsidRPr="001B4910">
              <w:rPr>
                <w:rFonts w:ascii="Arial" w:hAnsi="Arial" w:cs="Arial"/>
                <w:sz w:val="20"/>
                <w:szCs w:val="20"/>
              </w:rPr>
              <w:t>Survey</w:t>
            </w:r>
          </w:p>
        </w:tc>
        <w:tc>
          <w:tcPr>
            <w:tcW w:w="1200" w:type="dxa"/>
            <w:tcBorders>
              <w:bottom w:val="single" w:sz="4" w:space="0" w:color="auto"/>
            </w:tcBorders>
            <w:shd w:val="clear" w:color="auto" w:fill="D9D9D9" w:themeFill="background1" w:themeFillShade="D9"/>
            <w:noWrap/>
          </w:tcPr>
          <w:p w14:paraId="25300D32" w14:textId="77777777" w:rsidR="006170A7" w:rsidRPr="001B4910" w:rsidRDefault="006170A7" w:rsidP="001B4910">
            <w:pPr>
              <w:rPr>
                <w:rFonts w:ascii="Arial" w:hAnsi="Arial" w:cs="Arial"/>
                <w:sz w:val="20"/>
                <w:szCs w:val="20"/>
              </w:rPr>
            </w:pPr>
            <w:r w:rsidRPr="001B4910">
              <w:rPr>
                <w:rFonts w:ascii="Arial" w:hAnsi="Arial" w:cs="Arial"/>
                <w:sz w:val="20"/>
                <w:szCs w:val="20"/>
              </w:rPr>
              <w:t>Bering Clip</w:t>
            </w:r>
          </w:p>
        </w:tc>
        <w:tc>
          <w:tcPr>
            <w:tcW w:w="1620" w:type="dxa"/>
            <w:tcBorders>
              <w:bottom w:val="single" w:sz="4" w:space="0" w:color="auto"/>
            </w:tcBorders>
            <w:shd w:val="clear" w:color="auto" w:fill="D9D9D9" w:themeFill="background1" w:themeFillShade="D9"/>
            <w:noWrap/>
          </w:tcPr>
          <w:p w14:paraId="3F76ED1D" w14:textId="77777777" w:rsidR="006170A7" w:rsidRPr="001B4910" w:rsidRDefault="006170A7" w:rsidP="001B4910">
            <w:pPr>
              <w:rPr>
                <w:rFonts w:ascii="Arial" w:hAnsi="Arial" w:cs="Arial"/>
                <w:sz w:val="20"/>
                <w:szCs w:val="20"/>
              </w:rPr>
            </w:pPr>
            <w:r w:rsidRPr="001B4910">
              <w:rPr>
                <w:rFonts w:ascii="Arial" w:hAnsi="Arial" w:cs="Arial"/>
                <w:sz w:val="20"/>
                <w:szCs w:val="20"/>
              </w:rPr>
              <w:t>Mature ≥45 cm</w:t>
            </w:r>
          </w:p>
        </w:tc>
        <w:tc>
          <w:tcPr>
            <w:tcW w:w="1440" w:type="dxa"/>
            <w:tcBorders>
              <w:bottom w:val="single" w:sz="4" w:space="0" w:color="auto"/>
            </w:tcBorders>
            <w:shd w:val="clear" w:color="auto" w:fill="D9D9D9" w:themeFill="background1" w:themeFillShade="D9"/>
            <w:noWrap/>
          </w:tcPr>
          <w:p w14:paraId="507342FB" w14:textId="77777777" w:rsidR="006170A7" w:rsidRPr="001B4910" w:rsidRDefault="006170A7" w:rsidP="001B4910">
            <w:pPr>
              <w:rPr>
                <w:rFonts w:ascii="Arial" w:hAnsi="Arial" w:cs="Arial"/>
                <w:sz w:val="20"/>
                <w:szCs w:val="20"/>
              </w:rPr>
            </w:pPr>
            <w:r w:rsidRPr="001B4910">
              <w:rPr>
                <w:rFonts w:ascii="Arial" w:hAnsi="Arial" w:cs="Arial"/>
                <w:sz w:val="20"/>
                <w:szCs w:val="20"/>
              </w:rPr>
              <w:t>2009 – 2018</w:t>
            </w:r>
          </w:p>
        </w:tc>
        <w:tc>
          <w:tcPr>
            <w:tcW w:w="1584" w:type="dxa"/>
            <w:tcBorders>
              <w:bottom w:val="single" w:sz="4" w:space="0" w:color="auto"/>
            </w:tcBorders>
            <w:shd w:val="clear" w:color="auto" w:fill="D9D9D9" w:themeFill="background1" w:themeFillShade="D9"/>
            <w:noWrap/>
          </w:tcPr>
          <w:p w14:paraId="70DD8207" w14:textId="77777777" w:rsidR="006170A7" w:rsidRPr="001B4910" w:rsidRDefault="006170A7" w:rsidP="001B4910">
            <w:pPr>
              <w:rPr>
                <w:rFonts w:ascii="Arial" w:hAnsi="Arial" w:cs="Arial"/>
                <w:sz w:val="20"/>
                <w:szCs w:val="20"/>
              </w:rPr>
            </w:pPr>
            <w:r w:rsidRPr="001B4910">
              <w:rPr>
                <w:rFonts w:ascii="Arial" w:hAnsi="Arial" w:cs="Arial"/>
                <w:sz w:val="20"/>
                <w:szCs w:val="20"/>
              </w:rPr>
              <w:t>May – August</w:t>
            </w:r>
          </w:p>
        </w:tc>
        <w:tc>
          <w:tcPr>
            <w:tcW w:w="1066" w:type="dxa"/>
            <w:tcBorders>
              <w:bottom w:val="single" w:sz="4" w:space="0" w:color="auto"/>
            </w:tcBorders>
            <w:shd w:val="clear" w:color="auto" w:fill="D9D9D9" w:themeFill="background1" w:themeFillShade="D9"/>
            <w:noWrap/>
          </w:tcPr>
          <w:p w14:paraId="7CD2477E" w14:textId="77777777" w:rsidR="006170A7" w:rsidRPr="001B4910" w:rsidRDefault="006170A7" w:rsidP="001B4910">
            <w:pPr>
              <w:rPr>
                <w:rFonts w:ascii="Arial" w:hAnsi="Arial" w:cs="Arial"/>
                <w:sz w:val="20"/>
                <w:szCs w:val="20"/>
              </w:rPr>
            </w:pPr>
            <w:r w:rsidRPr="001B4910">
              <w:rPr>
                <w:rFonts w:ascii="Arial" w:hAnsi="Arial" w:cs="Arial"/>
                <w:sz w:val="20"/>
                <w:szCs w:val="20"/>
              </w:rPr>
              <w:t>32,984</w:t>
            </w:r>
          </w:p>
        </w:tc>
        <w:tc>
          <w:tcPr>
            <w:tcW w:w="735" w:type="dxa"/>
            <w:tcBorders>
              <w:bottom w:val="single" w:sz="4" w:space="0" w:color="auto"/>
            </w:tcBorders>
            <w:shd w:val="clear" w:color="auto" w:fill="D9D9D9" w:themeFill="background1" w:themeFillShade="D9"/>
            <w:vAlign w:val="center"/>
          </w:tcPr>
          <w:p w14:paraId="2A0D9DD8"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61</w:t>
            </w:r>
          </w:p>
        </w:tc>
        <w:tc>
          <w:tcPr>
            <w:tcW w:w="922" w:type="dxa"/>
            <w:tcBorders>
              <w:bottom w:val="single" w:sz="4" w:space="0" w:color="auto"/>
            </w:tcBorders>
            <w:shd w:val="clear" w:color="auto" w:fill="D9D9D9" w:themeFill="background1" w:themeFillShade="D9"/>
            <w:vAlign w:val="center"/>
          </w:tcPr>
          <w:p w14:paraId="676D1EB0"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110</w:t>
            </w:r>
          </w:p>
        </w:tc>
        <w:tc>
          <w:tcPr>
            <w:tcW w:w="920" w:type="dxa"/>
            <w:tcBorders>
              <w:bottom w:val="single" w:sz="4" w:space="0" w:color="auto"/>
            </w:tcBorders>
            <w:shd w:val="clear" w:color="auto" w:fill="D9D9D9" w:themeFill="background1" w:themeFillShade="D9"/>
            <w:vAlign w:val="center"/>
          </w:tcPr>
          <w:p w14:paraId="603F411E" w14:textId="77777777" w:rsidR="006170A7" w:rsidRPr="001B4910" w:rsidRDefault="006170A7" w:rsidP="001B4910">
            <w:pPr>
              <w:jc w:val="center"/>
              <w:rPr>
                <w:rFonts w:ascii="Arial" w:hAnsi="Arial" w:cs="Arial"/>
                <w:i/>
                <w:color w:val="A6A6A6" w:themeColor="background1" w:themeShade="A6"/>
                <w:sz w:val="20"/>
                <w:szCs w:val="20"/>
              </w:rPr>
            </w:pPr>
            <w:r w:rsidRPr="001B4910">
              <w:rPr>
                <w:rFonts w:ascii="Arial" w:hAnsi="Arial" w:cs="Arial"/>
                <w:i/>
                <w:color w:val="A6A6A6" w:themeColor="background1" w:themeShade="A6"/>
                <w:sz w:val="20"/>
                <w:szCs w:val="20"/>
              </w:rPr>
              <w:t>NA</w:t>
            </w:r>
          </w:p>
        </w:tc>
        <w:tc>
          <w:tcPr>
            <w:tcW w:w="929" w:type="dxa"/>
            <w:tcBorders>
              <w:bottom w:val="single" w:sz="4" w:space="0" w:color="auto"/>
            </w:tcBorders>
            <w:shd w:val="clear" w:color="auto" w:fill="D9D9D9" w:themeFill="background1" w:themeFillShade="D9"/>
            <w:vAlign w:val="center"/>
          </w:tcPr>
          <w:p w14:paraId="75B20D69"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60</w:t>
            </w:r>
          </w:p>
        </w:tc>
        <w:tc>
          <w:tcPr>
            <w:tcW w:w="938" w:type="dxa"/>
            <w:tcBorders>
              <w:bottom w:val="single" w:sz="4" w:space="0" w:color="auto"/>
            </w:tcBorders>
            <w:shd w:val="clear" w:color="auto" w:fill="D9D9D9" w:themeFill="background1" w:themeFillShade="D9"/>
            <w:vAlign w:val="center"/>
          </w:tcPr>
          <w:p w14:paraId="4AB97C77" w14:textId="77777777" w:rsidR="006170A7" w:rsidRPr="001B4910" w:rsidRDefault="006170A7" w:rsidP="001B4910">
            <w:pPr>
              <w:jc w:val="center"/>
              <w:rPr>
                <w:rFonts w:ascii="Arial" w:hAnsi="Arial" w:cs="Arial"/>
                <w:sz w:val="20"/>
                <w:szCs w:val="20"/>
              </w:rPr>
            </w:pPr>
            <w:r w:rsidRPr="001B4910">
              <w:rPr>
                <w:rFonts w:ascii="Arial" w:hAnsi="Arial" w:cs="Arial"/>
                <w:sz w:val="20"/>
                <w:szCs w:val="20"/>
              </w:rPr>
              <w:t>60</w:t>
            </w:r>
          </w:p>
        </w:tc>
      </w:tr>
    </w:tbl>
    <w:p w14:paraId="32E00BCC" w14:textId="0BFABE5B" w:rsidR="00DE00B8" w:rsidRPr="001B4910" w:rsidRDefault="007949F2" w:rsidP="00F1734B">
      <w:pPr>
        <w:spacing w:line="360" w:lineRule="auto"/>
        <w:rPr>
          <w:rFonts w:ascii="Arial" w:hAnsi="Arial" w:cs="Arial"/>
        </w:rPr>
      </w:pPr>
      <w:r w:rsidRPr="001B4910">
        <w:rPr>
          <w:rFonts w:ascii="Arial" w:hAnsi="Arial" w:cs="Arial"/>
        </w:rPr>
        <w:t>T</w:t>
      </w:r>
      <w:r w:rsidR="00DE00B8" w:rsidRPr="001B4910">
        <w:rPr>
          <w:rFonts w:ascii="Arial" w:hAnsi="Arial" w:cs="Arial"/>
        </w:rPr>
        <w:t xml:space="preserve">able 1 </w:t>
      </w:r>
      <w:r w:rsidRPr="001B4910">
        <w:rPr>
          <w:rFonts w:ascii="Arial" w:hAnsi="Arial" w:cs="Arial"/>
        </w:rPr>
        <w:t xml:space="preserve">Sample sizes for Pacific cod </w:t>
      </w:r>
      <w:r w:rsidR="00177183" w:rsidRPr="001B4910">
        <w:rPr>
          <w:rFonts w:ascii="Arial" w:hAnsi="Arial" w:cs="Arial"/>
        </w:rPr>
        <w:t xml:space="preserve">measured </w:t>
      </w:r>
      <w:r w:rsidRPr="001B4910">
        <w:rPr>
          <w:rFonts w:ascii="Arial" w:hAnsi="Arial" w:cs="Arial"/>
        </w:rPr>
        <w:t>length</w:t>
      </w:r>
      <w:r w:rsidR="00177183" w:rsidRPr="001B4910">
        <w:rPr>
          <w:rFonts w:ascii="Arial" w:hAnsi="Arial" w:cs="Arial"/>
        </w:rPr>
        <w:t>s</w:t>
      </w:r>
      <w:r w:rsidR="00E801FA" w:rsidRPr="001B4910">
        <w:rPr>
          <w:rFonts w:ascii="Arial" w:hAnsi="Arial" w:cs="Arial"/>
        </w:rPr>
        <w:t xml:space="preserve"> </w:t>
      </w:r>
      <w:r w:rsidR="00177183" w:rsidRPr="001B4910">
        <w:rPr>
          <w:rFonts w:ascii="Arial" w:hAnsi="Arial" w:cs="Arial"/>
        </w:rPr>
        <w:t xml:space="preserve">data </w:t>
      </w:r>
      <w:r w:rsidRPr="001B4910">
        <w:rPr>
          <w:rFonts w:ascii="Arial" w:hAnsi="Arial" w:cs="Arial"/>
        </w:rPr>
        <w:t>used in the analysis</w:t>
      </w:r>
      <w:r w:rsidR="00DE00B8" w:rsidRPr="001B4910">
        <w:rPr>
          <w:rFonts w:ascii="Arial" w:hAnsi="Arial" w:cs="Arial"/>
        </w:rPr>
        <w:t xml:space="preserve"> for the Aleutian Islands</w:t>
      </w:r>
      <w:r w:rsidR="00956440" w:rsidRPr="001B4910">
        <w:rPr>
          <w:rFonts w:ascii="Arial" w:hAnsi="Arial" w:cs="Arial"/>
        </w:rPr>
        <w:t xml:space="preserve"> ("Aleutian")</w:t>
      </w:r>
      <w:r w:rsidR="00DE00B8" w:rsidRPr="001B4910">
        <w:rPr>
          <w:rFonts w:ascii="Arial" w:hAnsi="Arial" w:cs="Arial"/>
        </w:rPr>
        <w:t xml:space="preserve"> and Eastern Bering Sea</w:t>
      </w:r>
      <w:r w:rsidR="00956440" w:rsidRPr="001B4910">
        <w:rPr>
          <w:rFonts w:ascii="Arial" w:hAnsi="Arial" w:cs="Arial"/>
        </w:rPr>
        <w:t xml:space="preserve"> ("Bering Clip"). Bering Clip refers to a reduced area of the NMFS survey sampling grid where the bottom-trawl fishery occurs in the Eastern Bering Sea during the summer </w:t>
      </w:r>
      <w:r w:rsidR="006C6A73" w:rsidRPr="001B4910">
        <w:rPr>
          <w:rFonts w:ascii="Arial" w:hAnsi="Arial" w:cs="Arial"/>
        </w:rPr>
        <w:t xml:space="preserve">within </w:t>
      </w:r>
      <w:r w:rsidR="00BE6BA1" w:rsidRPr="001B4910">
        <w:rPr>
          <w:rFonts w:ascii="Arial" w:hAnsi="Arial" w:cs="Arial"/>
        </w:rPr>
        <w:t>the NMFS survey sampling grid</w:t>
      </w:r>
      <w:r w:rsidR="00C5630B" w:rsidRPr="001B4910">
        <w:rPr>
          <w:rFonts w:ascii="Arial" w:hAnsi="Arial" w:cs="Arial"/>
        </w:rPr>
        <w:t xml:space="preserve"> (See Figure 1). "Mature" refers to a subset of "All Lengths" using a regionally appropriate 50% maturity estimate per cm of length. </w:t>
      </w:r>
      <w:r w:rsidR="006170A7" w:rsidRPr="001B4910">
        <w:rPr>
          <w:rFonts w:ascii="Arial" w:hAnsi="Arial" w:cs="Arial"/>
        </w:rPr>
        <w:t>The grey rows coincide with the results of the Pacific cod length distribution Mann-Whitney test (See Table 2)</w:t>
      </w:r>
      <w:r w:rsidR="00DE00B8" w:rsidRPr="001B4910">
        <w:rPr>
          <w:rFonts w:ascii="Arial" w:hAnsi="Arial" w:cs="Arial"/>
        </w:rPr>
        <w:t xml:space="preserve">.  </w:t>
      </w:r>
    </w:p>
    <w:p w14:paraId="0D6B30BF" w14:textId="4ADAD6D3" w:rsidR="002D23E8" w:rsidRDefault="00C5630B" w:rsidP="006C6A73">
      <w:pPr>
        <w:spacing w:after="0" w:line="240" w:lineRule="auto"/>
        <w:sectPr w:rsidR="002D23E8" w:rsidSect="00C92F3D">
          <w:pgSz w:w="15840" w:h="12240" w:orient="landscape"/>
          <w:pgMar w:top="1440" w:right="1440" w:bottom="1440" w:left="1440" w:header="720" w:footer="720" w:gutter="0"/>
          <w:cols w:space="720"/>
          <w:docGrid w:linePitch="360"/>
        </w:sectPr>
      </w:pPr>
      <w:r>
        <w:t>*</w:t>
      </w:r>
      <w:r w:rsidR="00F316BD">
        <w:t xml:space="preserve">NMFS Survey sampling occurred in 1991, 1994, 1997, and 2000; from 2000 – 2018 it occurred biennially, except no sampling in 2008. </w:t>
      </w:r>
    </w:p>
    <w:p w14:paraId="6B9B6CCB" w14:textId="77777777" w:rsidR="002D23E8" w:rsidRDefault="002D23E8" w:rsidP="00F1734B">
      <w:pPr>
        <w:spacing w:line="360" w:lineRule="auto"/>
      </w:pPr>
    </w:p>
    <w:tbl>
      <w:tblPr>
        <w:tblStyle w:val="TableGrid"/>
        <w:tblpPr w:leftFromText="180" w:rightFromText="180" w:vertAnchor="text" w:horzAnchor="page" w:tblpX="614" w:tblpY="572"/>
        <w:tblW w:w="10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260"/>
        <w:gridCol w:w="1620"/>
        <w:gridCol w:w="1350"/>
        <w:gridCol w:w="1440"/>
        <w:gridCol w:w="1080"/>
        <w:gridCol w:w="1350"/>
        <w:gridCol w:w="1250"/>
      </w:tblGrid>
      <w:tr w:rsidR="006170A7" w:rsidRPr="001B4910" w14:paraId="1EB4E2CF" w14:textId="77777777" w:rsidTr="00847A2F">
        <w:tc>
          <w:tcPr>
            <w:tcW w:w="1620" w:type="dxa"/>
            <w:tcBorders>
              <w:top w:val="single" w:sz="4" w:space="0" w:color="auto"/>
              <w:bottom w:val="single" w:sz="4" w:space="0" w:color="auto"/>
            </w:tcBorders>
          </w:tcPr>
          <w:p w14:paraId="394DD795"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Type</w:t>
            </w:r>
          </w:p>
        </w:tc>
        <w:tc>
          <w:tcPr>
            <w:tcW w:w="1260" w:type="dxa"/>
            <w:tcBorders>
              <w:top w:val="single" w:sz="4" w:space="0" w:color="auto"/>
              <w:bottom w:val="single" w:sz="4" w:space="0" w:color="auto"/>
            </w:tcBorders>
          </w:tcPr>
          <w:p w14:paraId="7A543A34"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Study Area</w:t>
            </w:r>
          </w:p>
        </w:tc>
        <w:tc>
          <w:tcPr>
            <w:tcW w:w="1620" w:type="dxa"/>
            <w:tcBorders>
              <w:top w:val="single" w:sz="4" w:space="0" w:color="auto"/>
              <w:bottom w:val="single" w:sz="4" w:space="0" w:color="auto"/>
            </w:tcBorders>
          </w:tcPr>
          <w:p w14:paraId="0C49DD3F"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Type</w:t>
            </w:r>
          </w:p>
        </w:tc>
        <w:tc>
          <w:tcPr>
            <w:tcW w:w="1350" w:type="dxa"/>
            <w:tcBorders>
              <w:top w:val="single" w:sz="4" w:space="0" w:color="auto"/>
              <w:bottom w:val="single" w:sz="4" w:space="0" w:color="auto"/>
            </w:tcBorders>
          </w:tcPr>
          <w:p w14:paraId="08B97336"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Year Range</w:t>
            </w:r>
          </w:p>
        </w:tc>
        <w:tc>
          <w:tcPr>
            <w:tcW w:w="1440" w:type="dxa"/>
            <w:tcBorders>
              <w:top w:val="single" w:sz="4" w:space="0" w:color="auto"/>
              <w:bottom w:val="single" w:sz="4" w:space="0" w:color="auto"/>
            </w:tcBorders>
          </w:tcPr>
          <w:p w14:paraId="4D85905E"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Season</w:t>
            </w:r>
          </w:p>
        </w:tc>
        <w:tc>
          <w:tcPr>
            <w:tcW w:w="1080" w:type="dxa"/>
            <w:tcBorders>
              <w:top w:val="single" w:sz="4" w:space="0" w:color="auto"/>
              <w:bottom w:val="single" w:sz="4" w:space="0" w:color="auto"/>
            </w:tcBorders>
          </w:tcPr>
          <w:p w14:paraId="1800575E"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P-value</w:t>
            </w:r>
          </w:p>
        </w:tc>
        <w:tc>
          <w:tcPr>
            <w:tcW w:w="1350" w:type="dxa"/>
            <w:tcBorders>
              <w:top w:val="single" w:sz="4" w:space="0" w:color="auto"/>
              <w:bottom w:val="single" w:sz="4" w:space="0" w:color="auto"/>
            </w:tcBorders>
          </w:tcPr>
          <w:p w14:paraId="6024763B"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szCs w:val="20"/>
              </w:rPr>
              <w:t>W</w:t>
            </w:r>
          </w:p>
        </w:tc>
        <w:tc>
          <w:tcPr>
            <w:tcW w:w="1250" w:type="dxa"/>
            <w:tcBorders>
              <w:top w:val="single" w:sz="4" w:space="0" w:color="auto"/>
              <w:bottom w:val="single" w:sz="4" w:space="0" w:color="auto"/>
            </w:tcBorders>
          </w:tcPr>
          <w:p w14:paraId="71D8A167"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Distribution</w:t>
            </w:r>
          </w:p>
        </w:tc>
      </w:tr>
      <w:tr w:rsidR="006170A7" w:rsidRPr="001B4910" w14:paraId="488FA409" w14:textId="77777777" w:rsidTr="00847A2F">
        <w:trPr>
          <w:trHeight w:val="292"/>
        </w:trPr>
        <w:tc>
          <w:tcPr>
            <w:tcW w:w="1620" w:type="dxa"/>
            <w:tcBorders>
              <w:top w:val="single" w:sz="4" w:space="0" w:color="auto"/>
            </w:tcBorders>
            <w:vAlign w:val="center"/>
          </w:tcPr>
          <w:p w14:paraId="1C6DD261"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Fishery/Survey</w:t>
            </w:r>
          </w:p>
        </w:tc>
        <w:tc>
          <w:tcPr>
            <w:tcW w:w="1260" w:type="dxa"/>
            <w:tcBorders>
              <w:top w:val="single" w:sz="4" w:space="0" w:color="auto"/>
            </w:tcBorders>
            <w:vAlign w:val="center"/>
          </w:tcPr>
          <w:p w14:paraId="3C2C890A"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Bering Clip</w:t>
            </w:r>
          </w:p>
        </w:tc>
        <w:tc>
          <w:tcPr>
            <w:tcW w:w="1620" w:type="dxa"/>
            <w:tcBorders>
              <w:top w:val="single" w:sz="4" w:space="0" w:color="auto"/>
            </w:tcBorders>
            <w:vAlign w:val="center"/>
          </w:tcPr>
          <w:p w14:paraId="13920825"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Mature ≥45 cm</w:t>
            </w:r>
          </w:p>
        </w:tc>
        <w:tc>
          <w:tcPr>
            <w:tcW w:w="1350" w:type="dxa"/>
            <w:tcBorders>
              <w:top w:val="single" w:sz="4" w:space="0" w:color="auto"/>
            </w:tcBorders>
            <w:vAlign w:val="center"/>
          </w:tcPr>
          <w:p w14:paraId="644F402B"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2009 – 2018</w:t>
            </w:r>
          </w:p>
        </w:tc>
        <w:tc>
          <w:tcPr>
            <w:tcW w:w="1440" w:type="dxa"/>
            <w:tcBorders>
              <w:top w:val="single" w:sz="4" w:space="0" w:color="auto"/>
            </w:tcBorders>
            <w:vAlign w:val="center"/>
          </w:tcPr>
          <w:p w14:paraId="4F5D8B76"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May – August</w:t>
            </w:r>
          </w:p>
        </w:tc>
        <w:tc>
          <w:tcPr>
            <w:tcW w:w="1080" w:type="dxa"/>
            <w:tcBorders>
              <w:top w:val="single" w:sz="4" w:space="0" w:color="auto"/>
            </w:tcBorders>
            <w:vAlign w:val="center"/>
          </w:tcPr>
          <w:p w14:paraId="52BBFF8A"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szCs w:val="20"/>
              </w:rPr>
              <w:t>&lt;0.001</w:t>
            </w:r>
          </w:p>
        </w:tc>
        <w:tc>
          <w:tcPr>
            <w:tcW w:w="1350" w:type="dxa"/>
            <w:tcBorders>
              <w:top w:val="single" w:sz="4" w:space="0" w:color="auto"/>
            </w:tcBorders>
            <w:vAlign w:val="center"/>
          </w:tcPr>
          <w:p w14:paraId="11472A87" w14:textId="44A19143" w:rsidR="006170A7" w:rsidRPr="001B4910" w:rsidRDefault="003E194F" w:rsidP="00847A2F">
            <w:pPr>
              <w:spacing w:line="360" w:lineRule="auto"/>
              <w:jc w:val="center"/>
              <w:rPr>
                <w:rFonts w:ascii="Arial" w:hAnsi="Arial" w:cs="Arial"/>
                <w:sz w:val="20"/>
                <w:szCs w:val="20"/>
              </w:rPr>
            </w:pPr>
            <w:r>
              <w:rPr>
                <w:rFonts w:ascii="Arial" w:hAnsi="Arial" w:cs="Arial"/>
                <w:sz w:val="20"/>
                <w:szCs w:val="20"/>
              </w:rPr>
              <w:t>70612144</w:t>
            </w:r>
          </w:p>
        </w:tc>
        <w:tc>
          <w:tcPr>
            <w:tcW w:w="1250" w:type="dxa"/>
            <w:tcBorders>
              <w:top w:val="single" w:sz="4" w:space="0" w:color="auto"/>
            </w:tcBorders>
            <w:vAlign w:val="center"/>
          </w:tcPr>
          <w:p w14:paraId="723724E7"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szCs w:val="20"/>
              </w:rPr>
              <w:t>Different</w:t>
            </w:r>
          </w:p>
        </w:tc>
      </w:tr>
      <w:tr w:rsidR="006170A7" w:rsidRPr="001B4910" w14:paraId="5692723B" w14:textId="77777777" w:rsidTr="00847A2F">
        <w:trPr>
          <w:trHeight w:val="292"/>
        </w:trPr>
        <w:tc>
          <w:tcPr>
            <w:tcW w:w="1620" w:type="dxa"/>
            <w:tcBorders>
              <w:bottom w:val="single" w:sz="4" w:space="0" w:color="auto"/>
            </w:tcBorders>
            <w:vAlign w:val="center"/>
          </w:tcPr>
          <w:p w14:paraId="4994B952"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Fishery/Survey</w:t>
            </w:r>
          </w:p>
        </w:tc>
        <w:tc>
          <w:tcPr>
            <w:tcW w:w="1260" w:type="dxa"/>
            <w:tcBorders>
              <w:bottom w:val="single" w:sz="4" w:space="0" w:color="auto"/>
            </w:tcBorders>
            <w:vAlign w:val="center"/>
          </w:tcPr>
          <w:p w14:paraId="699666A3"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Aleutian</w:t>
            </w:r>
          </w:p>
        </w:tc>
        <w:tc>
          <w:tcPr>
            <w:tcW w:w="1620" w:type="dxa"/>
            <w:tcBorders>
              <w:bottom w:val="single" w:sz="4" w:space="0" w:color="auto"/>
            </w:tcBorders>
            <w:vAlign w:val="center"/>
          </w:tcPr>
          <w:p w14:paraId="49EC71FA"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Mature ≥45 cm</w:t>
            </w:r>
          </w:p>
        </w:tc>
        <w:tc>
          <w:tcPr>
            <w:tcW w:w="1350" w:type="dxa"/>
            <w:tcBorders>
              <w:bottom w:val="single" w:sz="4" w:space="0" w:color="auto"/>
            </w:tcBorders>
            <w:vAlign w:val="center"/>
          </w:tcPr>
          <w:p w14:paraId="0EDD59D7"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1991 – 2018</w:t>
            </w:r>
          </w:p>
        </w:tc>
        <w:tc>
          <w:tcPr>
            <w:tcW w:w="1440" w:type="dxa"/>
            <w:tcBorders>
              <w:bottom w:val="single" w:sz="4" w:space="0" w:color="auto"/>
            </w:tcBorders>
            <w:vAlign w:val="center"/>
          </w:tcPr>
          <w:p w14:paraId="5CCC54A9" w14:textId="77777777" w:rsidR="006170A7" w:rsidRPr="001B4910" w:rsidRDefault="006170A7" w:rsidP="00847A2F">
            <w:pPr>
              <w:spacing w:line="360" w:lineRule="auto"/>
              <w:rPr>
                <w:rFonts w:ascii="Arial" w:hAnsi="Arial" w:cs="Arial"/>
                <w:sz w:val="20"/>
                <w:szCs w:val="20"/>
              </w:rPr>
            </w:pPr>
            <w:r w:rsidRPr="001B4910">
              <w:rPr>
                <w:rFonts w:ascii="Arial" w:hAnsi="Arial" w:cs="Arial"/>
                <w:sz w:val="20"/>
                <w:szCs w:val="20"/>
              </w:rPr>
              <w:t>May – August</w:t>
            </w:r>
          </w:p>
        </w:tc>
        <w:tc>
          <w:tcPr>
            <w:tcW w:w="1080" w:type="dxa"/>
            <w:tcBorders>
              <w:bottom w:val="single" w:sz="4" w:space="0" w:color="auto"/>
            </w:tcBorders>
            <w:vAlign w:val="center"/>
          </w:tcPr>
          <w:p w14:paraId="25D8C325"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szCs w:val="20"/>
              </w:rPr>
              <w:t>0.62</w:t>
            </w:r>
          </w:p>
        </w:tc>
        <w:tc>
          <w:tcPr>
            <w:tcW w:w="1350" w:type="dxa"/>
            <w:tcBorders>
              <w:bottom w:val="single" w:sz="4" w:space="0" w:color="auto"/>
            </w:tcBorders>
            <w:vAlign w:val="center"/>
          </w:tcPr>
          <w:p w14:paraId="07C31D90"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rPr>
              <w:t>121991464</w:t>
            </w:r>
          </w:p>
        </w:tc>
        <w:tc>
          <w:tcPr>
            <w:tcW w:w="1250" w:type="dxa"/>
            <w:tcBorders>
              <w:bottom w:val="single" w:sz="4" w:space="0" w:color="auto"/>
            </w:tcBorders>
            <w:vAlign w:val="center"/>
          </w:tcPr>
          <w:p w14:paraId="6351DCDA" w14:textId="77777777" w:rsidR="006170A7" w:rsidRPr="001B4910" w:rsidRDefault="006170A7" w:rsidP="00847A2F">
            <w:pPr>
              <w:spacing w:line="360" w:lineRule="auto"/>
              <w:jc w:val="center"/>
              <w:rPr>
                <w:rFonts w:ascii="Arial" w:hAnsi="Arial" w:cs="Arial"/>
                <w:sz w:val="20"/>
                <w:szCs w:val="20"/>
              </w:rPr>
            </w:pPr>
            <w:r w:rsidRPr="001B4910">
              <w:rPr>
                <w:rFonts w:ascii="Arial" w:hAnsi="Arial" w:cs="Arial"/>
                <w:sz w:val="20"/>
                <w:szCs w:val="20"/>
              </w:rPr>
              <w:t>Same</w:t>
            </w:r>
          </w:p>
        </w:tc>
      </w:tr>
    </w:tbl>
    <w:p w14:paraId="6DD333EE" w14:textId="7D796B47" w:rsidR="002F38E3" w:rsidRPr="001B4910" w:rsidRDefault="002D23E8" w:rsidP="00F1734B">
      <w:pPr>
        <w:spacing w:line="360" w:lineRule="auto"/>
        <w:rPr>
          <w:rFonts w:ascii="Arial" w:hAnsi="Arial" w:cs="Arial"/>
        </w:rPr>
        <w:sectPr w:rsidR="002F38E3" w:rsidRPr="001B4910" w:rsidSect="006170A7">
          <w:pgSz w:w="12240" w:h="15840"/>
          <w:pgMar w:top="1440" w:right="1440" w:bottom="1440" w:left="1440" w:header="720" w:footer="720" w:gutter="0"/>
          <w:cols w:space="720"/>
          <w:docGrid w:linePitch="360"/>
        </w:sectPr>
      </w:pPr>
      <w:r w:rsidRPr="001B4910">
        <w:rPr>
          <w:rFonts w:ascii="Arial" w:hAnsi="Arial" w:cs="Arial"/>
        </w:rPr>
        <w:t xml:space="preserve">Table </w:t>
      </w:r>
      <w:r w:rsidR="006C6A73" w:rsidRPr="001B4910">
        <w:rPr>
          <w:rFonts w:ascii="Arial" w:hAnsi="Arial" w:cs="Arial"/>
        </w:rPr>
        <w:t>2</w:t>
      </w:r>
      <w:r w:rsidRPr="001B4910">
        <w:rPr>
          <w:rFonts w:ascii="Arial" w:hAnsi="Arial" w:cs="Arial"/>
        </w:rPr>
        <w:t xml:space="preserve"> </w:t>
      </w:r>
      <w:r w:rsidR="006170A7" w:rsidRPr="001B4910">
        <w:rPr>
          <w:rFonts w:ascii="Arial" w:hAnsi="Arial" w:cs="Arial"/>
        </w:rPr>
        <w:t xml:space="preserve">Results of the </w:t>
      </w:r>
      <w:r w:rsidRPr="001B4910">
        <w:rPr>
          <w:rFonts w:ascii="Arial" w:hAnsi="Arial" w:cs="Arial"/>
        </w:rPr>
        <w:t>Pacific cod length distribution test using Mann-Whitney</w:t>
      </w:r>
    </w:p>
    <w:p w14:paraId="4E95914B" w14:textId="4A063C15" w:rsidR="00DE00B8" w:rsidRPr="00847A2F" w:rsidRDefault="007949F2" w:rsidP="007949F2">
      <w:pPr>
        <w:pStyle w:val="Heading1"/>
        <w:rPr>
          <w:rFonts w:ascii="Arial" w:hAnsi="Arial" w:cs="Arial"/>
        </w:rPr>
      </w:pPr>
      <w:r w:rsidRPr="00847A2F">
        <w:rPr>
          <w:rFonts w:ascii="Arial" w:hAnsi="Arial" w:cs="Arial"/>
        </w:rPr>
        <w:lastRenderedPageBreak/>
        <w:t>8.0 Figures</w:t>
      </w:r>
    </w:p>
    <w:p w14:paraId="30B28855" w14:textId="1776A1E0" w:rsidR="00DE00B8" w:rsidRDefault="00DE00B8" w:rsidP="00F1734B">
      <w:pPr>
        <w:spacing w:line="360" w:lineRule="auto"/>
      </w:pPr>
    </w:p>
    <w:p w14:paraId="4C24E205" w14:textId="29A390A9" w:rsidR="00DE00B8" w:rsidRDefault="00177183" w:rsidP="00F1734B">
      <w:pPr>
        <w:spacing w:line="360" w:lineRule="auto"/>
      </w:pPr>
      <w:bookmarkStart w:id="0" w:name="_GoBack"/>
      <w:r w:rsidRPr="00177183">
        <w:rPr>
          <w:noProof/>
        </w:rPr>
        <w:drawing>
          <wp:anchor distT="0" distB="0" distL="114300" distR="114300" simplePos="0" relativeHeight="251672576" behindDoc="1" locked="0" layoutInCell="1" allowOverlap="1" wp14:anchorId="22803DDB" wp14:editId="30CAF41E">
            <wp:simplePos x="0" y="0"/>
            <wp:positionH relativeFrom="column">
              <wp:posOffset>0</wp:posOffset>
            </wp:positionH>
            <wp:positionV relativeFrom="paragraph">
              <wp:posOffset>3446</wp:posOffset>
            </wp:positionV>
            <wp:extent cx="5943600" cy="4595784"/>
            <wp:effectExtent l="0" t="0" r="0" b="0"/>
            <wp:wrapNone/>
            <wp:docPr id="1" name="Picture 1" descr="C:\Users\kimberly.rand\Work\COD\COD PAPER\figures and table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rand\Work\COD\COD PAPER\figures and tables\Figure1.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43600" cy="4595784"/>
                    </a:xfrm>
                    <a:prstGeom prst="rect">
                      <a:avLst/>
                    </a:prstGeom>
                    <a:noFill/>
                    <a:ln>
                      <a:noFill/>
                    </a:ln>
                  </pic:spPr>
                </pic:pic>
              </a:graphicData>
            </a:graphic>
          </wp:anchor>
        </w:drawing>
      </w:r>
      <w:bookmarkEnd w:id="0"/>
    </w:p>
    <w:p w14:paraId="3DFFBC0C" w14:textId="7CDF1904" w:rsidR="00DE00B8" w:rsidRDefault="00DE00B8" w:rsidP="00F1734B">
      <w:pPr>
        <w:spacing w:line="360" w:lineRule="auto"/>
      </w:pPr>
    </w:p>
    <w:p w14:paraId="16DDF739" w14:textId="77777777" w:rsidR="00DE00B8" w:rsidRDefault="00DE00B8" w:rsidP="00F1734B">
      <w:pPr>
        <w:spacing w:line="360" w:lineRule="auto"/>
      </w:pPr>
    </w:p>
    <w:p w14:paraId="5C61F788" w14:textId="77777777" w:rsidR="00DE00B8" w:rsidRDefault="00DE00B8" w:rsidP="00F1734B">
      <w:pPr>
        <w:tabs>
          <w:tab w:val="left" w:pos="5805"/>
        </w:tabs>
        <w:spacing w:line="360" w:lineRule="auto"/>
      </w:pPr>
      <w:r>
        <w:tab/>
      </w:r>
    </w:p>
    <w:p w14:paraId="35621498" w14:textId="77777777" w:rsidR="00DE00B8" w:rsidRDefault="00DE00B8" w:rsidP="00F1734B">
      <w:pPr>
        <w:spacing w:line="360" w:lineRule="auto"/>
      </w:pPr>
    </w:p>
    <w:p w14:paraId="2DDB4201" w14:textId="2B0BBBC3" w:rsidR="002A32A4" w:rsidRDefault="00201672" w:rsidP="00201672">
      <w:pPr>
        <w:tabs>
          <w:tab w:val="left" w:pos="3608"/>
        </w:tabs>
        <w:spacing w:line="360" w:lineRule="auto"/>
      </w:pPr>
      <w:r>
        <w:tab/>
      </w:r>
    </w:p>
    <w:p w14:paraId="7969C8AF" w14:textId="77777777" w:rsidR="002A32A4" w:rsidRDefault="002A32A4" w:rsidP="00F1734B">
      <w:pPr>
        <w:spacing w:line="360" w:lineRule="auto"/>
      </w:pPr>
    </w:p>
    <w:p w14:paraId="6DCA75BB" w14:textId="77777777" w:rsidR="002A32A4" w:rsidRDefault="002A32A4" w:rsidP="00F1734B">
      <w:pPr>
        <w:spacing w:line="360" w:lineRule="auto"/>
      </w:pPr>
    </w:p>
    <w:p w14:paraId="03826617" w14:textId="77777777" w:rsidR="002A32A4" w:rsidRDefault="002A32A4" w:rsidP="00F1734B">
      <w:pPr>
        <w:spacing w:line="360" w:lineRule="auto"/>
      </w:pPr>
    </w:p>
    <w:p w14:paraId="7474F85A" w14:textId="77777777" w:rsidR="002A32A4" w:rsidRDefault="002A32A4" w:rsidP="00F1734B">
      <w:pPr>
        <w:spacing w:line="360" w:lineRule="auto"/>
      </w:pPr>
    </w:p>
    <w:p w14:paraId="344D76ED" w14:textId="77777777" w:rsidR="002A32A4" w:rsidRDefault="002A32A4" w:rsidP="00F1734B">
      <w:pPr>
        <w:spacing w:line="360" w:lineRule="auto"/>
      </w:pPr>
    </w:p>
    <w:p w14:paraId="196E2720" w14:textId="77777777" w:rsidR="002A32A4" w:rsidRDefault="002A32A4" w:rsidP="00F1734B">
      <w:pPr>
        <w:spacing w:line="360" w:lineRule="auto"/>
      </w:pPr>
    </w:p>
    <w:p w14:paraId="33715FC2" w14:textId="77777777" w:rsidR="00BC6763" w:rsidRDefault="00BC6763" w:rsidP="00F1734B">
      <w:pPr>
        <w:spacing w:line="360" w:lineRule="auto"/>
      </w:pPr>
    </w:p>
    <w:p w14:paraId="2ADE43F6" w14:textId="77777777" w:rsidR="00BC6763" w:rsidRDefault="00BC6763" w:rsidP="00F1734B">
      <w:pPr>
        <w:spacing w:line="360" w:lineRule="auto"/>
      </w:pPr>
    </w:p>
    <w:p w14:paraId="217FEA4F" w14:textId="3E1369C9" w:rsidR="00DE00B8" w:rsidRPr="00847A2F" w:rsidRDefault="00DE00B8" w:rsidP="00F1734B">
      <w:pPr>
        <w:spacing w:line="360" w:lineRule="auto"/>
        <w:rPr>
          <w:rFonts w:ascii="Arial" w:hAnsi="Arial" w:cs="Arial"/>
        </w:rPr>
        <w:sectPr w:rsidR="00DE00B8" w:rsidRPr="00847A2F">
          <w:pgSz w:w="12240" w:h="15840"/>
          <w:pgMar w:top="1440" w:right="1440" w:bottom="1440" w:left="1440" w:header="720" w:footer="720" w:gutter="0"/>
          <w:cols w:space="720"/>
          <w:docGrid w:linePitch="360"/>
        </w:sectPr>
      </w:pPr>
      <w:r w:rsidRPr="00847A2F">
        <w:rPr>
          <w:rFonts w:ascii="Arial" w:hAnsi="Arial" w:cs="Arial"/>
        </w:rPr>
        <w:t xml:space="preserve">Figure 1 Study areas for </w:t>
      </w:r>
      <w:r w:rsidR="00873BF3" w:rsidRPr="00847A2F">
        <w:rPr>
          <w:rFonts w:ascii="Arial" w:hAnsi="Arial" w:cs="Arial"/>
        </w:rPr>
        <w:t xml:space="preserve">the </w:t>
      </w:r>
      <w:r w:rsidRPr="00847A2F">
        <w:rPr>
          <w:rFonts w:ascii="Arial" w:hAnsi="Arial" w:cs="Arial"/>
        </w:rPr>
        <w:t xml:space="preserve">Pacific cod length distributions </w:t>
      </w:r>
      <w:r w:rsidR="00873BF3" w:rsidRPr="00847A2F">
        <w:rPr>
          <w:rFonts w:ascii="Arial" w:hAnsi="Arial" w:cs="Arial"/>
        </w:rPr>
        <w:t>in</w:t>
      </w:r>
      <w:r w:rsidRPr="00847A2F">
        <w:rPr>
          <w:rFonts w:ascii="Arial" w:hAnsi="Arial" w:cs="Arial"/>
        </w:rPr>
        <w:t xml:space="preserve"> the Aleutian Islands and </w:t>
      </w:r>
      <w:r w:rsidR="00873BF3" w:rsidRPr="00847A2F">
        <w:rPr>
          <w:rFonts w:ascii="Arial" w:hAnsi="Arial" w:cs="Arial"/>
        </w:rPr>
        <w:t xml:space="preserve">Eastern Bering Sea. </w:t>
      </w:r>
    </w:p>
    <w:p w14:paraId="322FB290" w14:textId="2C93F7DA" w:rsidR="0063294C" w:rsidRDefault="00FD6FDC" w:rsidP="00FA1A37">
      <w:pPr>
        <w:spacing w:line="360" w:lineRule="auto"/>
        <w:rPr>
          <w:noProof/>
        </w:rPr>
      </w:pPr>
      <w:r w:rsidRPr="00FD6FDC">
        <w:rPr>
          <w:noProof/>
        </w:rPr>
        <w:lastRenderedPageBreak/>
        <w:drawing>
          <wp:anchor distT="0" distB="0" distL="114300" distR="114300" simplePos="0" relativeHeight="251713536" behindDoc="1" locked="0" layoutInCell="1" allowOverlap="1" wp14:anchorId="06010DAD" wp14:editId="21A4ECC9">
            <wp:simplePos x="0" y="0"/>
            <wp:positionH relativeFrom="column">
              <wp:posOffset>3063987</wp:posOffset>
            </wp:positionH>
            <wp:positionV relativeFrom="paragraph">
              <wp:posOffset>1905</wp:posOffset>
            </wp:positionV>
            <wp:extent cx="3594735" cy="2779395"/>
            <wp:effectExtent l="0" t="0" r="5715" b="1905"/>
            <wp:wrapNone/>
            <wp:docPr id="4" name="Picture 4" descr="C:\Users\kimberly.rand\Work\COD\COD PAPER\figures and tables\AI_Fish_541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berly.rand\Work\COD\COD PAPER\figures and tables\AI_Fish_541Median_small.tif"/>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594735"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FDC">
        <w:rPr>
          <w:noProof/>
        </w:rPr>
        <w:drawing>
          <wp:anchor distT="0" distB="0" distL="114300" distR="114300" simplePos="0" relativeHeight="251714560" behindDoc="1" locked="0" layoutInCell="1" allowOverlap="1" wp14:anchorId="429CDDAE" wp14:editId="4398437B">
            <wp:simplePos x="0" y="0"/>
            <wp:positionH relativeFrom="column">
              <wp:posOffset>-532018</wp:posOffset>
            </wp:positionH>
            <wp:positionV relativeFrom="paragraph">
              <wp:posOffset>12065</wp:posOffset>
            </wp:positionV>
            <wp:extent cx="3594735" cy="2779395"/>
            <wp:effectExtent l="0" t="0" r="5715" b="1905"/>
            <wp:wrapNone/>
            <wp:docPr id="5" name="Picture 5" descr="C:\Users\kimberly.rand\Work\COD\COD PAPER\figures and tables\AI_Fish_542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berly.rand\Work\COD\COD PAPER\figures and tables\AI_Fish_542Median_small.t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94735"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9BCFF" w14:textId="3CA824C3" w:rsidR="0063294C" w:rsidRDefault="0063294C" w:rsidP="00FA1A37">
      <w:pPr>
        <w:spacing w:line="360" w:lineRule="auto"/>
        <w:rPr>
          <w:noProof/>
        </w:rPr>
      </w:pPr>
    </w:p>
    <w:p w14:paraId="170161DC" w14:textId="2F255196" w:rsidR="0063294C" w:rsidRDefault="0063294C" w:rsidP="00FA1A37">
      <w:pPr>
        <w:spacing w:line="360" w:lineRule="auto"/>
        <w:rPr>
          <w:noProof/>
        </w:rPr>
      </w:pPr>
    </w:p>
    <w:p w14:paraId="36515C85" w14:textId="649B684B" w:rsidR="0063294C" w:rsidRDefault="0063294C" w:rsidP="00FA1A37">
      <w:pPr>
        <w:spacing w:line="360" w:lineRule="auto"/>
        <w:rPr>
          <w:noProof/>
        </w:rPr>
      </w:pPr>
    </w:p>
    <w:p w14:paraId="2150B2B6" w14:textId="246584CE" w:rsidR="0063294C" w:rsidRDefault="0063294C" w:rsidP="00FA1A37">
      <w:pPr>
        <w:spacing w:line="360" w:lineRule="auto"/>
        <w:rPr>
          <w:noProof/>
        </w:rPr>
      </w:pPr>
    </w:p>
    <w:p w14:paraId="72C93FDA" w14:textId="1677681C" w:rsidR="0063294C" w:rsidRDefault="0063294C" w:rsidP="00FA1A37">
      <w:pPr>
        <w:spacing w:line="360" w:lineRule="auto"/>
        <w:rPr>
          <w:noProof/>
        </w:rPr>
      </w:pPr>
    </w:p>
    <w:p w14:paraId="74B206C9" w14:textId="6152D097" w:rsidR="0063294C" w:rsidRDefault="0063294C" w:rsidP="00FA1A37">
      <w:pPr>
        <w:spacing w:line="360" w:lineRule="auto"/>
        <w:rPr>
          <w:noProof/>
        </w:rPr>
      </w:pPr>
    </w:p>
    <w:p w14:paraId="6549DB03" w14:textId="33448A87" w:rsidR="0063294C" w:rsidRDefault="00FD6FDC" w:rsidP="00FA1A37">
      <w:pPr>
        <w:spacing w:line="360" w:lineRule="auto"/>
        <w:rPr>
          <w:noProof/>
        </w:rPr>
      </w:pPr>
      <w:r w:rsidRPr="00FD6FDC">
        <w:rPr>
          <w:noProof/>
        </w:rPr>
        <w:drawing>
          <wp:anchor distT="0" distB="0" distL="114300" distR="114300" simplePos="0" relativeHeight="251712512" behindDoc="1" locked="0" layoutInCell="1" allowOverlap="1" wp14:anchorId="1B580A16" wp14:editId="45DD9919">
            <wp:simplePos x="0" y="0"/>
            <wp:positionH relativeFrom="column">
              <wp:posOffset>-518907</wp:posOffset>
            </wp:positionH>
            <wp:positionV relativeFrom="paragraph">
              <wp:posOffset>289560</wp:posOffset>
            </wp:positionV>
            <wp:extent cx="3594735" cy="2779395"/>
            <wp:effectExtent l="0" t="0" r="5715" b="1905"/>
            <wp:wrapNone/>
            <wp:docPr id="3" name="Picture 3" descr="C:\Users\kimberly.rand\Work\COD\COD PAPER\figures and tables\AI_Survey_542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rand\Work\COD\COD PAPER\figures and tables\AI_Survey_542Median_small.t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594735"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FDC">
        <w:rPr>
          <w:noProof/>
        </w:rPr>
        <w:drawing>
          <wp:anchor distT="0" distB="0" distL="114300" distR="114300" simplePos="0" relativeHeight="251715584" behindDoc="1" locked="0" layoutInCell="1" allowOverlap="1" wp14:anchorId="6E50B65A" wp14:editId="678338C1">
            <wp:simplePos x="0" y="0"/>
            <wp:positionH relativeFrom="column">
              <wp:posOffset>3081655</wp:posOffset>
            </wp:positionH>
            <wp:positionV relativeFrom="paragraph">
              <wp:posOffset>288178</wp:posOffset>
            </wp:positionV>
            <wp:extent cx="3595007" cy="2779776"/>
            <wp:effectExtent l="0" t="0" r="5715" b="1905"/>
            <wp:wrapNone/>
            <wp:docPr id="6" name="Picture 6" descr="C:\Users\kimberly.rand\Work\COD\COD PAPER\figures and tables\AI_Survey_541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berly.rand\Work\COD\COD PAPER\figures and tables\AI_Survey_541Median_small.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595007" cy="277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47A5D" w14:textId="10145EB2" w:rsidR="0063294C" w:rsidRDefault="0063294C" w:rsidP="00FA1A37">
      <w:pPr>
        <w:spacing w:line="360" w:lineRule="auto"/>
        <w:rPr>
          <w:noProof/>
          <w:highlight w:val="yellow"/>
        </w:rPr>
      </w:pPr>
    </w:p>
    <w:p w14:paraId="6E91EBB8" w14:textId="140CAC21" w:rsidR="0063294C" w:rsidRDefault="0063294C" w:rsidP="00FA1A37">
      <w:pPr>
        <w:spacing w:line="360" w:lineRule="auto"/>
        <w:rPr>
          <w:noProof/>
          <w:highlight w:val="yellow"/>
        </w:rPr>
      </w:pPr>
    </w:p>
    <w:p w14:paraId="5E07CF9B" w14:textId="06A8DBCE" w:rsidR="0063294C" w:rsidRDefault="0063294C" w:rsidP="00FA1A37">
      <w:pPr>
        <w:spacing w:line="360" w:lineRule="auto"/>
        <w:rPr>
          <w:noProof/>
          <w:highlight w:val="yellow"/>
        </w:rPr>
      </w:pPr>
    </w:p>
    <w:p w14:paraId="5D6A73D5" w14:textId="3F304FD2" w:rsidR="0063294C" w:rsidRDefault="0063294C" w:rsidP="00AA069B">
      <w:pPr>
        <w:spacing w:line="360" w:lineRule="auto"/>
        <w:jc w:val="center"/>
        <w:rPr>
          <w:noProof/>
          <w:highlight w:val="yellow"/>
        </w:rPr>
      </w:pPr>
    </w:p>
    <w:p w14:paraId="6102D91C" w14:textId="5B236544" w:rsidR="0063294C" w:rsidRDefault="0063294C" w:rsidP="00FA1A37">
      <w:pPr>
        <w:spacing w:line="360" w:lineRule="auto"/>
        <w:rPr>
          <w:noProof/>
          <w:highlight w:val="yellow"/>
        </w:rPr>
      </w:pPr>
    </w:p>
    <w:p w14:paraId="289F91EA" w14:textId="038B801B" w:rsidR="0063294C" w:rsidRDefault="0063294C" w:rsidP="00FA1A37">
      <w:pPr>
        <w:spacing w:line="360" w:lineRule="auto"/>
        <w:rPr>
          <w:noProof/>
          <w:highlight w:val="yellow"/>
        </w:rPr>
      </w:pPr>
    </w:p>
    <w:p w14:paraId="764BE3AE" w14:textId="77777777" w:rsidR="0063294C" w:rsidRDefault="0063294C" w:rsidP="00FA1A37">
      <w:pPr>
        <w:spacing w:line="360" w:lineRule="auto"/>
        <w:rPr>
          <w:noProof/>
          <w:highlight w:val="yellow"/>
        </w:rPr>
      </w:pPr>
    </w:p>
    <w:p w14:paraId="760D4036" w14:textId="7FAD888D" w:rsidR="0063294C" w:rsidRDefault="0063294C" w:rsidP="00FA1A37">
      <w:pPr>
        <w:spacing w:line="360" w:lineRule="auto"/>
        <w:rPr>
          <w:noProof/>
          <w:highlight w:val="yellow"/>
        </w:rPr>
      </w:pPr>
    </w:p>
    <w:p w14:paraId="4CA77C72" w14:textId="1B195ADE" w:rsidR="0063294C" w:rsidRDefault="0063294C" w:rsidP="00FA1A37">
      <w:pPr>
        <w:spacing w:line="360" w:lineRule="auto"/>
        <w:rPr>
          <w:noProof/>
          <w:highlight w:val="yellow"/>
        </w:rPr>
      </w:pPr>
    </w:p>
    <w:p w14:paraId="100CE2C4" w14:textId="0D6AC387" w:rsidR="00FA1A37" w:rsidRPr="00847A2F" w:rsidRDefault="0063294C" w:rsidP="00FA1A37">
      <w:pPr>
        <w:spacing w:line="360" w:lineRule="auto"/>
        <w:rPr>
          <w:rFonts w:ascii="Arial" w:hAnsi="Arial" w:cs="Arial"/>
        </w:rPr>
      </w:pPr>
      <w:r w:rsidRPr="00847A2F">
        <w:rPr>
          <w:rFonts w:ascii="Arial" w:hAnsi="Arial" w:cs="Arial"/>
          <w:noProof/>
        </w:rPr>
        <w:t>Figure 2</w:t>
      </w:r>
      <w:r w:rsidR="00130640" w:rsidRPr="00847A2F">
        <w:rPr>
          <w:rFonts w:ascii="Arial" w:hAnsi="Arial" w:cs="Arial"/>
          <w:noProof/>
        </w:rPr>
        <w:t>a-d.</w:t>
      </w:r>
      <w:r w:rsidR="00FA1A37" w:rsidRPr="00847A2F">
        <w:rPr>
          <w:rFonts w:ascii="Arial" w:hAnsi="Arial" w:cs="Arial"/>
          <w:noProof/>
        </w:rPr>
        <w:t xml:space="preserve"> Pacific cod </w:t>
      </w:r>
      <w:r w:rsidR="00130640" w:rsidRPr="00847A2F">
        <w:rPr>
          <w:rFonts w:ascii="Arial" w:hAnsi="Arial" w:cs="Arial"/>
          <w:noProof/>
        </w:rPr>
        <w:t xml:space="preserve">median </w:t>
      </w:r>
      <w:r w:rsidR="00FA1A37" w:rsidRPr="00847A2F">
        <w:rPr>
          <w:rFonts w:ascii="Arial" w:hAnsi="Arial" w:cs="Arial"/>
          <w:noProof/>
        </w:rPr>
        <w:t xml:space="preserve">length measurements </w:t>
      </w:r>
      <w:r w:rsidR="00130640" w:rsidRPr="00847A2F">
        <w:rPr>
          <w:rFonts w:ascii="Arial" w:hAnsi="Arial" w:cs="Arial"/>
          <w:noProof/>
        </w:rPr>
        <w:t xml:space="preserve">(cm) </w:t>
      </w:r>
      <w:r w:rsidR="00FA1A37" w:rsidRPr="00847A2F">
        <w:rPr>
          <w:rFonts w:ascii="Arial" w:hAnsi="Arial" w:cs="Arial"/>
          <w:noProof/>
        </w:rPr>
        <w:t xml:space="preserve">from the </w:t>
      </w:r>
      <w:r w:rsidR="00130640" w:rsidRPr="00847A2F">
        <w:rPr>
          <w:rFonts w:ascii="Arial" w:hAnsi="Arial" w:cs="Arial"/>
          <w:noProof/>
        </w:rPr>
        <w:t>bottom-trawl fishery (a,</w:t>
      </w:r>
      <w:r w:rsidR="00C3258A" w:rsidRPr="00847A2F">
        <w:rPr>
          <w:rFonts w:ascii="Arial" w:hAnsi="Arial" w:cs="Arial"/>
          <w:noProof/>
        </w:rPr>
        <w:t xml:space="preserve"> </w:t>
      </w:r>
      <w:r w:rsidR="00130640" w:rsidRPr="00847A2F">
        <w:rPr>
          <w:rFonts w:ascii="Arial" w:hAnsi="Arial" w:cs="Arial"/>
          <w:noProof/>
        </w:rPr>
        <w:t xml:space="preserve">b) and the </w:t>
      </w:r>
      <w:r w:rsidR="00FA1A37" w:rsidRPr="00847A2F">
        <w:rPr>
          <w:rFonts w:ascii="Arial" w:hAnsi="Arial" w:cs="Arial"/>
          <w:noProof/>
        </w:rPr>
        <w:t>NMFS survey (</w:t>
      </w:r>
      <w:r w:rsidR="00130640" w:rsidRPr="00847A2F">
        <w:rPr>
          <w:rFonts w:ascii="Arial" w:hAnsi="Arial" w:cs="Arial"/>
          <w:noProof/>
        </w:rPr>
        <w:t>c,</w:t>
      </w:r>
      <w:r w:rsidR="00C3258A" w:rsidRPr="00847A2F">
        <w:rPr>
          <w:rFonts w:ascii="Arial" w:hAnsi="Arial" w:cs="Arial"/>
          <w:noProof/>
        </w:rPr>
        <w:t xml:space="preserve"> </w:t>
      </w:r>
      <w:r w:rsidR="00130640" w:rsidRPr="00847A2F">
        <w:rPr>
          <w:rFonts w:ascii="Arial" w:hAnsi="Arial" w:cs="Arial"/>
          <w:noProof/>
        </w:rPr>
        <w:t>d</w:t>
      </w:r>
      <w:r w:rsidR="00FA1A37" w:rsidRPr="00847A2F">
        <w:rPr>
          <w:rFonts w:ascii="Arial" w:hAnsi="Arial" w:cs="Arial"/>
          <w:noProof/>
        </w:rPr>
        <w:t>) for 1991 – 2018 time-period</w:t>
      </w:r>
      <w:r w:rsidR="00663408" w:rsidRPr="00847A2F">
        <w:rPr>
          <w:rFonts w:ascii="Arial" w:hAnsi="Arial" w:cs="Arial"/>
          <w:noProof/>
        </w:rPr>
        <w:t>, summer months only (May – August)</w:t>
      </w:r>
      <w:r w:rsidR="00FA1A37" w:rsidRPr="00847A2F">
        <w:rPr>
          <w:rFonts w:ascii="Arial" w:hAnsi="Arial" w:cs="Arial"/>
          <w:noProof/>
        </w:rPr>
        <w:t xml:space="preserve">.  </w:t>
      </w:r>
      <w:r w:rsidR="00130640" w:rsidRPr="00847A2F">
        <w:rPr>
          <w:rFonts w:ascii="Arial" w:hAnsi="Arial" w:cs="Arial"/>
          <w:noProof/>
        </w:rPr>
        <w:t>The left column</w:t>
      </w:r>
      <w:r w:rsidR="00C3258A" w:rsidRPr="00847A2F">
        <w:rPr>
          <w:rFonts w:ascii="Arial" w:hAnsi="Arial" w:cs="Arial"/>
          <w:noProof/>
        </w:rPr>
        <w:t xml:space="preserve"> (a, c)</w:t>
      </w:r>
      <w:r w:rsidR="00130640" w:rsidRPr="00847A2F">
        <w:rPr>
          <w:rFonts w:ascii="Arial" w:hAnsi="Arial" w:cs="Arial"/>
          <w:noProof/>
        </w:rPr>
        <w:t xml:space="preserve"> is the far west Aleutian Islands and the right column </w:t>
      </w:r>
      <w:r w:rsidR="00C3258A" w:rsidRPr="00847A2F">
        <w:rPr>
          <w:rFonts w:ascii="Arial" w:hAnsi="Arial" w:cs="Arial"/>
          <w:noProof/>
        </w:rPr>
        <w:t xml:space="preserve">(b, d) </w:t>
      </w:r>
      <w:r w:rsidR="00130640" w:rsidRPr="00847A2F">
        <w:rPr>
          <w:rFonts w:ascii="Arial" w:hAnsi="Arial" w:cs="Arial"/>
          <w:noProof/>
        </w:rPr>
        <w:t>is the east Aleutian Island</w:t>
      </w:r>
      <w:r w:rsidR="00130640" w:rsidRPr="00847A2F">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00130640" w:rsidRPr="00847A2F">
        <w:rPr>
          <w:rFonts w:ascii="Arial" w:hAnsi="Arial" w:cs="Arial"/>
          <w:noProof/>
        </w:rPr>
        <w:t xml:space="preserve">s. </w:t>
      </w:r>
    </w:p>
    <w:p w14:paraId="54C9DF5C" w14:textId="77777777" w:rsidR="00CA4F2A" w:rsidRDefault="00CA4F2A" w:rsidP="00177183">
      <w:pPr>
        <w:tabs>
          <w:tab w:val="left" w:pos="2249"/>
        </w:tabs>
        <w:spacing w:line="360" w:lineRule="auto"/>
        <w:sectPr w:rsidR="00CA4F2A">
          <w:pgSz w:w="12240" w:h="15840"/>
          <w:pgMar w:top="1440" w:right="1440" w:bottom="1440" w:left="1440" w:header="720" w:footer="720" w:gutter="0"/>
          <w:cols w:space="720"/>
          <w:docGrid w:linePitch="360"/>
        </w:sectPr>
      </w:pPr>
    </w:p>
    <w:p w14:paraId="28A01677" w14:textId="46AC16E7" w:rsidR="00DE00B8" w:rsidRDefault="008120AA" w:rsidP="008120AA">
      <w:pPr>
        <w:spacing w:line="360" w:lineRule="auto"/>
      </w:pPr>
      <w:r w:rsidRPr="006C2AD2">
        <w:rPr>
          <w:noProof/>
          <w:sz w:val="40"/>
          <w:szCs w:val="40"/>
        </w:rPr>
        <w:lastRenderedPageBreak/>
        <w:drawing>
          <wp:anchor distT="0" distB="0" distL="114300" distR="114300" simplePos="0" relativeHeight="251707392" behindDoc="1" locked="0" layoutInCell="1" allowOverlap="1" wp14:anchorId="5EC0ECD5" wp14:editId="09FF6283">
            <wp:simplePos x="0" y="0"/>
            <wp:positionH relativeFrom="page">
              <wp:posOffset>4021336</wp:posOffset>
            </wp:positionH>
            <wp:positionV relativeFrom="paragraph">
              <wp:posOffset>9525</wp:posOffset>
            </wp:positionV>
            <wp:extent cx="3590755" cy="2871216"/>
            <wp:effectExtent l="0" t="0" r="0" b="5715"/>
            <wp:wrapNone/>
            <wp:docPr id="26" name="Picture 26" descr="C:\Users\kimberly.rand\Work\COD\COD PAPER\figures and tables\AI_FishSur_Summer_1991_2018_M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berly.rand\Work\COD\COD PAPER\figures and tables\AI_FishSur_Summer_1991_2018_Mature.tiff"/>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90755" cy="287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59D">
        <w:rPr>
          <w:noProof/>
          <w:sz w:val="40"/>
          <w:szCs w:val="40"/>
        </w:rPr>
        <w:drawing>
          <wp:anchor distT="0" distB="0" distL="114300" distR="114300" simplePos="0" relativeHeight="251706368" behindDoc="1" locked="0" layoutInCell="1" allowOverlap="1" wp14:anchorId="79564381" wp14:editId="106BB637">
            <wp:simplePos x="0" y="0"/>
            <wp:positionH relativeFrom="margin">
              <wp:posOffset>-461952</wp:posOffset>
            </wp:positionH>
            <wp:positionV relativeFrom="paragraph">
              <wp:posOffset>0</wp:posOffset>
            </wp:positionV>
            <wp:extent cx="3590755" cy="2871216"/>
            <wp:effectExtent l="0" t="0" r="0" b="5715"/>
            <wp:wrapNone/>
            <wp:docPr id="25" name="Picture 25" descr="C:\Users\kimberly.rand\Work\COD\COD PAPER\figures and tables\AI_FishSur_1991_2018_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mberly.rand\Work\COD\COD PAPER\figures and tables\AI_FishSur_1991_2018_All.tiff"/>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590755" cy="287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42E">
        <w:rPr>
          <w:sz w:val="40"/>
          <w:szCs w:val="40"/>
        </w:rPr>
        <w:tab/>
      </w:r>
      <w:r w:rsidR="0064342E">
        <w:rPr>
          <w:sz w:val="40"/>
          <w:szCs w:val="40"/>
        </w:rPr>
        <w:tab/>
      </w:r>
    </w:p>
    <w:p w14:paraId="208A9937" w14:textId="52B8E1CE" w:rsidR="00DE00B8" w:rsidRDefault="00DE00B8" w:rsidP="00F1734B">
      <w:pPr>
        <w:spacing w:line="360" w:lineRule="auto"/>
      </w:pPr>
    </w:p>
    <w:p w14:paraId="00249F7D" w14:textId="1C976164" w:rsidR="00DE00B8" w:rsidRDefault="00DE00B8" w:rsidP="00F1734B">
      <w:pPr>
        <w:spacing w:line="360" w:lineRule="auto"/>
      </w:pPr>
    </w:p>
    <w:p w14:paraId="170D1F7F" w14:textId="48FCF5F1" w:rsidR="0064342E" w:rsidRPr="0064342E" w:rsidRDefault="0064342E" w:rsidP="0064342E">
      <w:pPr>
        <w:spacing w:line="360" w:lineRule="auto"/>
        <w:rPr>
          <w:sz w:val="40"/>
          <w:szCs w:val="40"/>
        </w:rPr>
      </w:pPr>
    </w:p>
    <w:p w14:paraId="18071CFC" w14:textId="5F483313" w:rsidR="00DE00B8" w:rsidRDefault="003E7A16" w:rsidP="003E7A16">
      <w:pPr>
        <w:tabs>
          <w:tab w:val="left" w:pos="3349"/>
        </w:tabs>
        <w:spacing w:line="360" w:lineRule="auto"/>
      </w:pPr>
      <w:r>
        <w:tab/>
      </w:r>
    </w:p>
    <w:p w14:paraId="2AAF547D" w14:textId="7AFD7F33" w:rsidR="00284D94" w:rsidRDefault="00284D94" w:rsidP="00284D94">
      <w:pPr>
        <w:tabs>
          <w:tab w:val="left" w:pos="7329"/>
        </w:tabs>
        <w:spacing w:line="360" w:lineRule="auto"/>
      </w:pPr>
      <w:r>
        <w:tab/>
      </w:r>
    </w:p>
    <w:p w14:paraId="436F1F8C" w14:textId="4F6A997F" w:rsidR="00284D94" w:rsidRDefault="00284D94" w:rsidP="00284D94">
      <w:pPr>
        <w:tabs>
          <w:tab w:val="left" w:pos="7329"/>
        </w:tabs>
        <w:spacing w:line="360" w:lineRule="auto"/>
      </w:pPr>
    </w:p>
    <w:p w14:paraId="18934522" w14:textId="6FDC559D" w:rsidR="00284D94" w:rsidRDefault="008120AA" w:rsidP="00284D94">
      <w:pPr>
        <w:tabs>
          <w:tab w:val="left" w:pos="7329"/>
        </w:tabs>
        <w:spacing w:line="360" w:lineRule="auto"/>
      </w:pPr>
      <w:r w:rsidRPr="006C2AD2">
        <w:rPr>
          <w:noProof/>
          <w:sz w:val="40"/>
          <w:szCs w:val="40"/>
        </w:rPr>
        <w:drawing>
          <wp:anchor distT="0" distB="0" distL="114300" distR="114300" simplePos="0" relativeHeight="251708416" behindDoc="1" locked="0" layoutInCell="1" allowOverlap="1" wp14:anchorId="49E3E5EB" wp14:editId="69A8AB4B">
            <wp:simplePos x="0" y="0"/>
            <wp:positionH relativeFrom="column">
              <wp:posOffset>-431172</wp:posOffset>
            </wp:positionH>
            <wp:positionV relativeFrom="paragraph">
              <wp:posOffset>368300</wp:posOffset>
            </wp:positionV>
            <wp:extent cx="3590290" cy="2870835"/>
            <wp:effectExtent l="0" t="0" r="0" b="5715"/>
            <wp:wrapNone/>
            <wp:docPr id="27" name="Picture 27" descr="C:\Users\kimberly.rand\Work\COD\COD PAPER\figures and tables\AI_Fish_Winter_1991_2018_AllMa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mberly.rand\Work\COD\COD PAPER\figures and tables\AI_Fish_Winter_1991_2018_AllMat.tiff"/>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90290" cy="2870835"/>
                    </a:xfrm>
                    <a:prstGeom prst="rect">
                      <a:avLst/>
                    </a:prstGeom>
                    <a:noFill/>
                    <a:ln>
                      <a:noFill/>
                    </a:ln>
                  </pic:spPr>
                </pic:pic>
              </a:graphicData>
            </a:graphic>
          </wp:anchor>
        </w:drawing>
      </w:r>
    </w:p>
    <w:p w14:paraId="18376195" w14:textId="2B740042" w:rsidR="00284D94" w:rsidRDefault="008120AA" w:rsidP="00284D94">
      <w:pPr>
        <w:tabs>
          <w:tab w:val="left" w:pos="7329"/>
        </w:tabs>
        <w:spacing w:line="360" w:lineRule="auto"/>
      </w:pPr>
      <w:r>
        <w:rPr>
          <w:noProof/>
        </w:rPr>
        <mc:AlternateContent>
          <mc:Choice Requires="wps">
            <w:drawing>
              <wp:anchor distT="45720" distB="45720" distL="114300" distR="114300" simplePos="0" relativeHeight="251683840" behindDoc="0" locked="0" layoutInCell="1" allowOverlap="1" wp14:anchorId="707B6537" wp14:editId="533CB47D">
                <wp:simplePos x="0" y="0"/>
                <wp:positionH relativeFrom="margin">
                  <wp:posOffset>3395980</wp:posOffset>
                </wp:positionH>
                <wp:positionV relativeFrom="paragraph">
                  <wp:posOffset>6350</wp:posOffset>
                </wp:positionV>
                <wp:extent cx="3186430" cy="26708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670810"/>
                        </a:xfrm>
                        <a:prstGeom prst="rect">
                          <a:avLst/>
                        </a:prstGeom>
                        <a:solidFill>
                          <a:srgbClr val="FFFFFF"/>
                        </a:solidFill>
                        <a:ln w="9525">
                          <a:noFill/>
                          <a:miter lim="800000"/>
                          <a:headEnd/>
                          <a:tailEnd/>
                        </a:ln>
                      </wps:spPr>
                      <wps:txbx>
                        <w:txbxContent>
                          <w:p w14:paraId="6FC38A67" w14:textId="52AD9C95" w:rsidR="006D2D54" w:rsidRPr="00847A2F" w:rsidRDefault="006D2D54" w:rsidP="00284D94">
                            <w:pPr>
                              <w:spacing w:line="360" w:lineRule="auto"/>
                              <w:rPr>
                                <w:rFonts w:ascii="Arial" w:hAnsi="Arial" w:cs="Arial"/>
                              </w:rPr>
                            </w:pPr>
                            <w:r w:rsidRPr="00847A2F">
                              <w:rPr>
                                <w:rFonts w:ascii="Arial" w:hAnsi="Arial" w:cs="Arial"/>
                              </w:rPr>
                              <w:t xml:space="preserve">Figure 3a-c. Aleutian Islands Pacific cod length frequency distributions (Percent Total) for the bottom-trawl fishery and the NMFS survey for the 1991 - 2018 time period. "All Lengths" include all measured raw lengths, and "Mature" are subsampled length frequencies from "All Lengths" using a 50% maturity estimate for each one cm length (Spies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B6537" id="_x0000_t202" coordsize="21600,21600" o:spt="202" path="m,l,21600r21600,l21600,xe">
                <v:stroke joinstyle="miter"/>
                <v:path gradientshapeok="t" o:connecttype="rect"/>
              </v:shapetype>
              <v:shape id="Text Box 2" o:spid="_x0000_s1026" type="#_x0000_t202" style="position:absolute;margin-left:267.4pt;margin-top:.5pt;width:250.9pt;height:210.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A/IQIAAB4EAAAOAAAAZHJzL2Uyb0RvYy54bWysU9tuGyEQfa/Uf0C813uJ7Tgrr6PUqatK&#10;6UVK+gGYZb2owFDA3nW/PgPrOFb6VpUHxDDDYebMmeXtoBU5COclmJoWk5wSYTg00uxq+vNp82FB&#10;iQ/MNEyBETU9Ck9vV+/fLXtbiRI6UI1wBEGMr3pb0y4EW2WZ553QzE/ACoPOFpxmAU23yxrHekTX&#10;KivzfJ714BrrgAvv8fZ+dNJVwm9bwcP3tvUiEFVTzC2k3aV9G/dstWTVzjHbSX5Kg/1DFppJg5+e&#10;oe5ZYGTv5F9QWnIHHtow4aAzaFvJRaoBqynyN9U8dsyKVAuS4+2ZJv//YPm3ww9HZFPTsrimxDCN&#10;TXoSQyAfYSBl5Ke3vsKwR4uBYcBr7HOq1dsH4L88MbDumNmJO+eg7wRrML8ivswuno44PoJs+6/Q&#10;4DdsHyABDa3TkTykgyA69ul47k1MhePlVbGYT6/QxdFXzq/zRZG6l7Hq5bl1PnwWoEk81NRh8xM8&#10;Ozz4ENNh1UtI/M2Dks1GKpUMt9uulSMHhkLZpJUqeBOmDOlrejMrZwnZQHyfNKRlQCErqWu6yOMa&#10;pRXp+GSaFBKYVOMZM1HmxE+kZCQnDNsBAyNpW2iOyJSDUbA4YHjowP2hpEex1tT/3jMnKFFfDLJ9&#10;U0ynUd3JmM6uSzTcpWd76WGGI1RNAyXjcR3SREQeDNxhV1qZ+HrN5JQrijDReBqYqPJLO0W9jvXq&#10;GQAA//8DAFBLAwQUAAYACAAAACEAxBIX2t4AAAAKAQAADwAAAGRycy9kb3ducmV2LnhtbEyPQU7D&#10;MBBF90jcwRokNog6bVO3DXEqQAKxbekBJrGbRMTjKHab9PZMV7AcvdH/7+e7yXXiYofQetIwnyUg&#10;LFXetFRrOH5/PG9AhIhksPNkNVxtgF1xf5djZvxIe3s5xFpwCIUMNTQx9pmUoWqswzDzvSVmJz84&#10;jHwOtTQDjhzuOrlIEiUdtsQNDfb2vbHVz+HsNJy+xqfVdiw/43G9T9UbtuvSX7V+fJheX0BEO8W/&#10;Z7jpszoU7FT6M5kgOg2rZcrqkQFPuvFkqRSIUkO6mCuQRS7/Tyh+AQAA//8DAFBLAQItABQABgAI&#10;AAAAIQC2gziS/gAAAOEBAAATAAAAAAAAAAAAAAAAAAAAAABbQ29udGVudF9UeXBlc10ueG1sUEsB&#10;Ai0AFAAGAAgAAAAhADj9If/WAAAAlAEAAAsAAAAAAAAAAAAAAAAALwEAAF9yZWxzLy5yZWxzUEsB&#10;Ai0AFAAGAAgAAAAhABGlkD8hAgAAHgQAAA4AAAAAAAAAAAAAAAAALgIAAGRycy9lMm9Eb2MueG1s&#10;UEsBAi0AFAAGAAgAAAAhAMQSF9reAAAACgEAAA8AAAAAAAAAAAAAAAAAewQAAGRycy9kb3ducmV2&#10;LnhtbFBLBQYAAAAABAAEAPMAAACGBQAAAAA=&#10;" stroked="f">
                <v:textbox>
                  <w:txbxContent>
                    <w:p w14:paraId="6FC38A67" w14:textId="52AD9C95" w:rsidR="006D2D54" w:rsidRPr="00847A2F" w:rsidRDefault="006D2D54" w:rsidP="00284D94">
                      <w:pPr>
                        <w:spacing w:line="360" w:lineRule="auto"/>
                        <w:rPr>
                          <w:rFonts w:ascii="Arial" w:hAnsi="Arial" w:cs="Arial"/>
                        </w:rPr>
                      </w:pPr>
                      <w:r w:rsidRPr="00847A2F">
                        <w:rPr>
                          <w:rFonts w:ascii="Arial" w:hAnsi="Arial" w:cs="Arial"/>
                        </w:rPr>
                        <w:t xml:space="preserve">Figure 3a-c. Aleutian Islands Pacific cod length frequency distributions (Percent Total) for the bottom-trawl fishery and the NMFS survey for the 1991 - 2018 time period. "All Lengths" include all measured raw lengths, and "Mature" are subsampled length frequencies from "All Lengths" using a 50% maturity estimate for each one cm length (Spies 2020).  </w:t>
                      </w:r>
                    </w:p>
                  </w:txbxContent>
                </v:textbox>
                <w10:wrap type="square" anchorx="margin"/>
              </v:shape>
            </w:pict>
          </mc:Fallback>
        </mc:AlternateContent>
      </w:r>
    </w:p>
    <w:p w14:paraId="2AC45B95" w14:textId="77777777" w:rsidR="008120AA" w:rsidRDefault="008120AA" w:rsidP="00284D94">
      <w:pPr>
        <w:tabs>
          <w:tab w:val="left" w:pos="7329"/>
        </w:tabs>
        <w:spacing w:line="360" w:lineRule="auto"/>
        <w:sectPr w:rsidR="008120AA" w:rsidSect="00873BF3">
          <w:pgSz w:w="12240" w:h="15840"/>
          <w:pgMar w:top="1440" w:right="1440" w:bottom="1440" w:left="1440" w:header="720" w:footer="720" w:gutter="0"/>
          <w:cols w:space="720"/>
          <w:docGrid w:linePitch="360"/>
        </w:sectPr>
      </w:pPr>
    </w:p>
    <w:p w14:paraId="726B759B" w14:textId="5D5374AC" w:rsidR="00224172" w:rsidRDefault="00224172" w:rsidP="00284D94">
      <w:pPr>
        <w:tabs>
          <w:tab w:val="left" w:pos="7329"/>
        </w:tabs>
        <w:spacing w:line="360" w:lineRule="auto"/>
      </w:pPr>
      <w:r w:rsidRPr="00224172">
        <w:rPr>
          <w:noProof/>
        </w:rPr>
        <w:lastRenderedPageBreak/>
        <w:drawing>
          <wp:inline distT="0" distB="0" distL="0" distR="0" wp14:anchorId="7D93D52D" wp14:editId="35140D6A">
            <wp:extent cx="5943600" cy="4163016"/>
            <wp:effectExtent l="0" t="0" r="0" b="9525"/>
            <wp:docPr id="2" name="Picture 2" descr="C:\Users\kimberly.rand\Work\COD\COD PAPER\figures and tables\Hour_MedianLength_Fishe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rand\Work\COD\COD PAPER\figures and tables\Hour_MedianLength_Fishery.tiff"/>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43600" cy="4163016"/>
                    </a:xfrm>
                    <a:prstGeom prst="rect">
                      <a:avLst/>
                    </a:prstGeom>
                    <a:noFill/>
                    <a:ln>
                      <a:noFill/>
                    </a:ln>
                  </pic:spPr>
                </pic:pic>
              </a:graphicData>
            </a:graphic>
          </wp:inline>
        </w:drawing>
      </w:r>
    </w:p>
    <w:p w14:paraId="65AFCA2A" w14:textId="46EF2973" w:rsidR="00224172" w:rsidRPr="00847A2F" w:rsidRDefault="00224172" w:rsidP="00284D94">
      <w:pPr>
        <w:tabs>
          <w:tab w:val="left" w:pos="7329"/>
        </w:tabs>
        <w:spacing w:line="360" w:lineRule="auto"/>
        <w:rPr>
          <w:rFonts w:ascii="Arial" w:hAnsi="Arial" w:cs="Arial"/>
        </w:rPr>
        <w:sectPr w:rsidR="00224172" w:rsidRPr="00847A2F" w:rsidSect="00873BF3">
          <w:pgSz w:w="12240" w:h="15840"/>
          <w:pgMar w:top="1440" w:right="1440" w:bottom="1440" w:left="1440" w:header="720" w:footer="720" w:gutter="0"/>
          <w:cols w:space="720"/>
          <w:docGrid w:linePitch="360"/>
        </w:sectPr>
      </w:pPr>
      <w:r w:rsidRPr="00847A2F">
        <w:rPr>
          <w:rFonts w:ascii="Arial" w:hAnsi="Arial" w:cs="Arial"/>
        </w:rPr>
        <w:t xml:space="preserve">Figure 4.  Median length (sd) measurements (n=19,092) for Pacific cod captured by the bottom-trawl fishery only in the summer months (May – August) for the 2009 – 2018 time period. The grey shaded area coincides with NMFS survey operating hours. Only those lengths measured during the NMFS survey operating times are included in the study analysis. </w:t>
      </w:r>
    </w:p>
    <w:p w14:paraId="71CE5FA5" w14:textId="7AFDB78C" w:rsidR="00284D94" w:rsidRDefault="00284D94" w:rsidP="00284D94">
      <w:pPr>
        <w:tabs>
          <w:tab w:val="left" w:pos="7329"/>
        </w:tabs>
        <w:spacing w:line="360" w:lineRule="auto"/>
      </w:pPr>
    </w:p>
    <w:p w14:paraId="2A51FD65" w14:textId="4922EF0F" w:rsidR="00284D94" w:rsidRDefault="00FD6FDC" w:rsidP="00FD6FDC">
      <w:pPr>
        <w:tabs>
          <w:tab w:val="left" w:pos="7329"/>
        </w:tabs>
        <w:spacing w:line="360" w:lineRule="auto"/>
        <w:jc w:val="right"/>
      </w:pPr>
      <w:r w:rsidRPr="00FD6FDC">
        <w:rPr>
          <w:noProof/>
        </w:rPr>
        <w:drawing>
          <wp:anchor distT="0" distB="0" distL="114300" distR="114300" simplePos="0" relativeHeight="251716608" behindDoc="1" locked="0" layoutInCell="1" allowOverlap="1" wp14:anchorId="67D194DA" wp14:editId="33F43286">
            <wp:simplePos x="0" y="0"/>
            <wp:positionH relativeFrom="column">
              <wp:posOffset>-582804</wp:posOffset>
            </wp:positionH>
            <wp:positionV relativeFrom="paragraph">
              <wp:posOffset>367554</wp:posOffset>
            </wp:positionV>
            <wp:extent cx="3595007" cy="2779776"/>
            <wp:effectExtent l="0" t="0" r="5715" b="1905"/>
            <wp:wrapNone/>
            <wp:docPr id="7" name="Picture 7" descr="C:\Users\kimberly.rand\Work\COD\COD PAPER\figures and tables\EBS_Fish_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berly.rand\Work\COD\COD PAPER\figures and tables\EBS_Fish_Median_small.tif"/>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595007" cy="277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33835" w14:textId="727772B0" w:rsidR="00C4470D" w:rsidRDefault="00FD6FDC" w:rsidP="00C4470D">
      <w:pPr>
        <w:tabs>
          <w:tab w:val="left" w:pos="2249"/>
        </w:tabs>
        <w:spacing w:line="360" w:lineRule="auto"/>
      </w:pPr>
      <w:r w:rsidRPr="00FD6FDC">
        <w:rPr>
          <w:noProof/>
        </w:rPr>
        <w:drawing>
          <wp:anchor distT="0" distB="0" distL="114300" distR="114300" simplePos="0" relativeHeight="251717632" behindDoc="1" locked="0" layoutInCell="1" allowOverlap="1" wp14:anchorId="4C020DCF" wp14:editId="20E122DD">
            <wp:simplePos x="0" y="0"/>
            <wp:positionH relativeFrom="column">
              <wp:posOffset>3034086</wp:posOffset>
            </wp:positionH>
            <wp:positionV relativeFrom="paragraph">
              <wp:posOffset>8122</wp:posOffset>
            </wp:positionV>
            <wp:extent cx="3595007" cy="2779776"/>
            <wp:effectExtent l="0" t="0" r="5715" b="1905"/>
            <wp:wrapNone/>
            <wp:docPr id="8" name="Picture 8" descr="C:\Users\kimberly.rand\Work\COD\COD PAPER\figures and tables\EBS_Survey_Median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berly.rand\Work\COD\COD PAPER\figures and tables\EBS_Survey_Median_small.ti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595007" cy="277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70D">
        <w:tab/>
      </w:r>
    </w:p>
    <w:p w14:paraId="2DB02FC2" w14:textId="77777777" w:rsidR="00C4470D" w:rsidRDefault="00C4470D" w:rsidP="00C4470D">
      <w:pPr>
        <w:tabs>
          <w:tab w:val="left" w:pos="3762"/>
        </w:tabs>
        <w:spacing w:line="360" w:lineRule="auto"/>
        <w:rPr>
          <w:noProof/>
        </w:rPr>
      </w:pPr>
      <w:r>
        <w:rPr>
          <w:noProof/>
        </w:rPr>
        <w:tab/>
      </w:r>
    </w:p>
    <w:p w14:paraId="5B24EB88" w14:textId="77777777" w:rsidR="00C4470D" w:rsidRPr="00C4470D" w:rsidRDefault="00C4470D" w:rsidP="00C4470D">
      <w:pPr>
        <w:tabs>
          <w:tab w:val="left" w:pos="7719"/>
        </w:tabs>
        <w:spacing w:line="360" w:lineRule="auto"/>
        <w:rPr>
          <w:b/>
          <w:noProof/>
        </w:rPr>
      </w:pPr>
      <w:r w:rsidRPr="00C4470D">
        <w:rPr>
          <w:b/>
          <w:noProof/>
        </w:rPr>
        <w:tab/>
      </w:r>
    </w:p>
    <w:p w14:paraId="326CBA3E" w14:textId="77777777" w:rsidR="00C4470D" w:rsidRDefault="00C4470D" w:rsidP="00C4470D">
      <w:pPr>
        <w:tabs>
          <w:tab w:val="left" w:pos="6681"/>
        </w:tabs>
        <w:spacing w:line="360" w:lineRule="auto"/>
        <w:rPr>
          <w:noProof/>
        </w:rPr>
      </w:pPr>
    </w:p>
    <w:p w14:paraId="10319D57" w14:textId="77777777" w:rsidR="00C4470D" w:rsidRDefault="00C4470D" w:rsidP="00FD6FDC">
      <w:pPr>
        <w:spacing w:line="360" w:lineRule="auto"/>
        <w:jc w:val="right"/>
        <w:rPr>
          <w:noProof/>
        </w:rPr>
      </w:pPr>
    </w:p>
    <w:p w14:paraId="5A6DCAA7" w14:textId="77777777" w:rsidR="00C4470D" w:rsidRDefault="00C4470D" w:rsidP="00C4470D">
      <w:pPr>
        <w:tabs>
          <w:tab w:val="left" w:pos="2421"/>
        </w:tabs>
        <w:spacing w:line="360" w:lineRule="auto"/>
        <w:rPr>
          <w:noProof/>
        </w:rPr>
      </w:pPr>
      <w:r>
        <w:rPr>
          <w:noProof/>
        </w:rPr>
        <w:tab/>
      </w:r>
    </w:p>
    <w:p w14:paraId="41043D6A" w14:textId="77777777" w:rsidR="00C4470D" w:rsidRDefault="00C4470D" w:rsidP="00C4470D">
      <w:pPr>
        <w:spacing w:line="360" w:lineRule="auto"/>
        <w:jc w:val="center"/>
        <w:rPr>
          <w:noProof/>
        </w:rPr>
      </w:pPr>
    </w:p>
    <w:p w14:paraId="5AB4CFB1" w14:textId="77777777" w:rsidR="00C4470D" w:rsidRDefault="00C4470D" w:rsidP="00C4470D">
      <w:pPr>
        <w:spacing w:line="360" w:lineRule="auto"/>
        <w:rPr>
          <w:noProof/>
        </w:rPr>
      </w:pPr>
    </w:p>
    <w:p w14:paraId="65909E61" w14:textId="77777777" w:rsidR="00C4470D" w:rsidRDefault="00C4470D" w:rsidP="00C4470D">
      <w:pPr>
        <w:spacing w:line="360" w:lineRule="auto"/>
        <w:rPr>
          <w:noProof/>
        </w:rPr>
      </w:pPr>
    </w:p>
    <w:p w14:paraId="7818CA59" w14:textId="4BF0428D" w:rsidR="00C4470D" w:rsidRDefault="00224172" w:rsidP="00C4470D">
      <w:pPr>
        <w:spacing w:line="360" w:lineRule="auto"/>
      </w:pPr>
      <w:r>
        <w:rPr>
          <w:noProof/>
        </w:rPr>
        <w:t>Figure 5</w:t>
      </w:r>
      <w:r w:rsidR="00C4470D">
        <w:rPr>
          <w:noProof/>
        </w:rPr>
        <w:t xml:space="preserve">a-b. </w:t>
      </w:r>
      <w:r>
        <w:rPr>
          <w:noProof/>
        </w:rPr>
        <w:t xml:space="preserve">Eastern Bering Sea </w:t>
      </w:r>
      <w:r w:rsidR="00C4470D" w:rsidRPr="00130640">
        <w:rPr>
          <w:noProof/>
        </w:rPr>
        <w:t xml:space="preserve">Pacific cod </w:t>
      </w:r>
      <w:r w:rsidR="00C4470D">
        <w:rPr>
          <w:noProof/>
        </w:rPr>
        <w:t xml:space="preserve">median </w:t>
      </w:r>
      <w:r w:rsidR="00C4470D" w:rsidRPr="00130640">
        <w:rPr>
          <w:noProof/>
        </w:rPr>
        <w:t xml:space="preserve">length measurements </w:t>
      </w:r>
      <w:r w:rsidR="00C4470D">
        <w:rPr>
          <w:noProof/>
        </w:rPr>
        <w:t xml:space="preserve">(cm) </w:t>
      </w:r>
      <w:r w:rsidR="00C4470D" w:rsidRPr="00130640">
        <w:rPr>
          <w:noProof/>
        </w:rPr>
        <w:t xml:space="preserve">from the </w:t>
      </w:r>
      <w:r w:rsidR="00C4470D">
        <w:rPr>
          <w:noProof/>
        </w:rPr>
        <w:t xml:space="preserve">bottom-trawl survey (a) and </w:t>
      </w:r>
      <w:r w:rsidR="00C4470D" w:rsidRPr="00130640">
        <w:rPr>
          <w:noProof/>
        </w:rPr>
        <w:t>NMFS survey (</w:t>
      </w:r>
      <w:r w:rsidR="00C4470D">
        <w:rPr>
          <w:noProof/>
        </w:rPr>
        <w:t>b</w:t>
      </w:r>
      <w:r w:rsidR="00C4470D" w:rsidRPr="00130640">
        <w:rPr>
          <w:noProof/>
        </w:rPr>
        <w:t xml:space="preserve">) </w:t>
      </w:r>
      <w:r w:rsidR="00C4470D">
        <w:rPr>
          <w:noProof/>
        </w:rPr>
        <w:t>for the 2009</w:t>
      </w:r>
      <w:r w:rsidR="00C4470D" w:rsidRPr="00130640">
        <w:rPr>
          <w:noProof/>
        </w:rPr>
        <w:t xml:space="preserve"> – 2018 time-period</w:t>
      </w:r>
      <w:r>
        <w:rPr>
          <w:noProof/>
        </w:rPr>
        <w:t>; median is aggregated to the NMFS survey grid which measures 20 nmi x 20 nmi per grid cell</w:t>
      </w:r>
      <w:r w:rsidR="00C4470D" w:rsidRPr="00130640">
        <w:rPr>
          <w:noProof/>
        </w:rPr>
        <w:t xml:space="preserve">.  </w:t>
      </w:r>
    </w:p>
    <w:p w14:paraId="10EC3B31" w14:textId="77777777" w:rsidR="00C4470D" w:rsidRDefault="00C4470D" w:rsidP="00284D94">
      <w:pPr>
        <w:tabs>
          <w:tab w:val="left" w:pos="7329"/>
        </w:tabs>
        <w:spacing w:line="360" w:lineRule="auto"/>
        <w:sectPr w:rsidR="00C4470D" w:rsidSect="00873BF3">
          <w:pgSz w:w="12240" w:h="15840"/>
          <w:pgMar w:top="1440" w:right="1440" w:bottom="1440" w:left="1440" w:header="720" w:footer="720" w:gutter="0"/>
          <w:cols w:space="720"/>
          <w:docGrid w:linePitch="360"/>
        </w:sectPr>
      </w:pPr>
    </w:p>
    <w:p w14:paraId="20160D01" w14:textId="2EE7FB20" w:rsidR="00284D94" w:rsidRDefault="00062BD0" w:rsidP="00284D94">
      <w:pPr>
        <w:tabs>
          <w:tab w:val="left" w:pos="7329"/>
        </w:tabs>
        <w:spacing w:line="360" w:lineRule="auto"/>
      </w:pPr>
      <w:r w:rsidRPr="00062BD0">
        <w:rPr>
          <w:noProof/>
        </w:rPr>
        <w:lastRenderedPageBreak/>
        <w:drawing>
          <wp:anchor distT="0" distB="0" distL="114300" distR="114300" simplePos="0" relativeHeight="251710464" behindDoc="1" locked="0" layoutInCell="1" allowOverlap="1" wp14:anchorId="7065EB2E" wp14:editId="324E7C2B">
            <wp:simplePos x="0" y="0"/>
            <wp:positionH relativeFrom="column">
              <wp:posOffset>-502222</wp:posOffset>
            </wp:positionH>
            <wp:positionV relativeFrom="paragraph">
              <wp:posOffset>203325</wp:posOffset>
            </wp:positionV>
            <wp:extent cx="3590755" cy="2871216"/>
            <wp:effectExtent l="0" t="0" r="0" b="5715"/>
            <wp:wrapNone/>
            <wp:docPr id="31" name="Picture 31" descr="C:\Users\kimberly.rand\Work\COD\COD PAPER\figures and tables\BS_FishSur_2009_2018_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mberly.rand\Work\COD\COD PAPER\figures and tables\BS_FishSur_2009_2018_All.tiff"/>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590755" cy="287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BD0">
        <w:rPr>
          <w:noProof/>
        </w:rPr>
        <w:drawing>
          <wp:anchor distT="0" distB="0" distL="114300" distR="114300" simplePos="0" relativeHeight="251711488" behindDoc="1" locked="0" layoutInCell="1" allowOverlap="1" wp14:anchorId="6D1C27CB" wp14:editId="61558DEF">
            <wp:simplePos x="0" y="0"/>
            <wp:positionH relativeFrom="column">
              <wp:posOffset>3114870</wp:posOffset>
            </wp:positionH>
            <wp:positionV relativeFrom="paragraph">
              <wp:posOffset>241161</wp:posOffset>
            </wp:positionV>
            <wp:extent cx="3590755" cy="2871216"/>
            <wp:effectExtent l="0" t="0" r="0" b="5715"/>
            <wp:wrapNone/>
            <wp:docPr id="32" name="Picture 32" descr="C:\Users\kimberly.rand\Work\COD\COD PAPER\figures and tables\BS_FishSur_Summer_2009_2018_M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berly.rand\Work\COD\COD PAPER\figures and tables\BS_FishSur_Summer_2009_2018_Mature.tiff"/>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590755" cy="28712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45945" w14:textId="7CC779A7" w:rsidR="00284D94" w:rsidRDefault="00284D94" w:rsidP="00284D94">
      <w:pPr>
        <w:tabs>
          <w:tab w:val="left" w:pos="7329"/>
        </w:tabs>
        <w:spacing w:line="360" w:lineRule="auto"/>
      </w:pPr>
    </w:p>
    <w:p w14:paraId="7B4719DF" w14:textId="333700A5" w:rsidR="00DE00B8" w:rsidRDefault="00DE00B8" w:rsidP="00FB11EC">
      <w:pPr>
        <w:tabs>
          <w:tab w:val="left" w:pos="7329"/>
        </w:tabs>
        <w:spacing w:line="360" w:lineRule="auto"/>
      </w:pPr>
    </w:p>
    <w:p w14:paraId="71B873EC" w14:textId="48DD2CEA" w:rsidR="00DE00B8" w:rsidRPr="00A540FD" w:rsidRDefault="00DE00B8" w:rsidP="00F1734B">
      <w:pPr>
        <w:spacing w:line="360" w:lineRule="auto"/>
        <w:jc w:val="right"/>
        <w:rPr>
          <w:i/>
        </w:rPr>
      </w:pPr>
    </w:p>
    <w:p w14:paraId="4C4424F0" w14:textId="43C7F88C" w:rsidR="00DE00B8" w:rsidRDefault="00DE00B8" w:rsidP="00F1734B">
      <w:pPr>
        <w:tabs>
          <w:tab w:val="left" w:pos="6930"/>
        </w:tabs>
        <w:spacing w:line="360" w:lineRule="auto"/>
      </w:pPr>
      <w:r>
        <w:tab/>
      </w:r>
    </w:p>
    <w:p w14:paraId="6D49DCEF" w14:textId="301FF045" w:rsidR="00DE00B8" w:rsidRDefault="00DE00B8" w:rsidP="00F1734B">
      <w:pPr>
        <w:spacing w:line="360" w:lineRule="auto"/>
        <w:ind w:firstLine="720"/>
      </w:pPr>
    </w:p>
    <w:p w14:paraId="45AD9D2F" w14:textId="1D2A3417" w:rsidR="00DE00B8" w:rsidRDefault="00DE00B8" w:rsidP="00F1734B">
      <w:pPr>
        <w:tabs>
          <w:tab w:val="left" w:pos="3750"/>
        </w:tabs>
        <w:spacing w:line="360" w:lineRule="auto"/>
      </w:pPr>
      <w:r>
        <w:tab/>
      </w:r>
    </w:p>
    <w:p w14:paraId="3073DE54" w14:textId="23BE14ED" w:rsidR="00DE00B8" w:rsidRDefault="00DE00B8" w:rsidP="00F1734B">
      <w:pPr>
        <w:spacing w:line="360" w:lineRule="auto"/>
      </w:pPr>
    </w:p>
    <w:p w14:paraId="68251694" w14:textId="4269BBCC" w:rsidR="00DE00B8" w:rsidRDefault="00062BD0" w:rsidP="00F1734B">
      <w:pPr>
        <w:tabs>
          <w:tab w:val="left" w:pos="4065"/>
          <w:tab w:val="left" w:pos="7065"/>
        </w:tabs>
        <w:spacing w:line="360" w:lineRule="auto"/>
      </w:pPr>
      <w:r w:rsidRPr="00062BD0">
        <w:rPr>
          <w:noProof/>
        </w:rPr>
        <w:drawing>
          <wp:anchor distT="0" distB="0" distL="114300" distR="114300" simplePos="0" relativeHeight="251709440" behindDoc="1" locked="0" layoutInCell="1" allowOverlap="1" wp14:anchorId="3CD153B2" wp14:editId="4D0FCF16">
            <wp:simplePos x="0" y="0"/>
            <wp:positionH relativeFrom="column">
              <wp:posOffset>-475639</wp:posOffset>
            </wp:positionH>
            <wp:positionV relativeFrom="paragraph">
              <wp:posOffset>368404</wp:posOffset>
            </wp:positionV>
            <wp:extent cx="3590755" cy="2871216"/>
            <wp:effectExtent l="0" t="0" r="0" b="5715"/>
            <wp:wrapNone/>
            <wp:docPr id="30" name="Picture 30" descr="C:\Users\kimberly.rand\Work\COD\COD PAPER\figures and tables\BS_Winter_2009_2018_AllMa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mberly.rand\Work\COD\COD PAPER\figures and tables\BS_Winter_2009_2018_AllMat.tiff"/>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590755" cy="2871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0B8">
        <w:tab/>
      </w:r>
      <w:r w:rsidR="00DE00B8">
        <w:tab/>
      </w:r>
    </w:p>
    <w:p w14:paraId="71E01257" w14:textId="7EAD2BE4" w:rsidR="00DE00B8" w:rsidRDefault="00FB11EC" w:rsidP="00F1734B">
      <w:pPr>
        <w:tabs>
          <w:tab w:val="left" w:pos="3180"/>
        </w:tabs>
        <w:spacing w:line="360" w:lineRule="auto"/>
      </w:pPr>
      <w:r>
        <w:rPr>
          <w:noProof/>
        </w:rPr>
        <mc:AlternateContent>
          <mc:Choice Requires="wps">
            <w:drawing>
              <wp:anchor distT="45720" distB="45720" distL="114300" distR="114300" simplePos="0" relativeHeight="251692032" behindDoc="0" locked="0" layoutInCell="1" allowOverlap="1" wp14:anchorId="50F48261" wp14:editId="3B0DBD84">
                <wp:simplePos x="0" y="0"/>
                <wp:positionH relativeFrom="column">
                  <wp:posOffset>3513191</wp:posOffset>
                </wp:positionH>
                <wp:positionV relativeFrom="paragraph">
                  <wp:posOffset>142989</wp:posOffset>
                </wp:positionV>
                <wp:extent cx="30099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noFill/>
                          <a:miter lim="800000"/>
                          <a:headEnd/>
                          <a:tailEnd/>
                        </a:ln>
                      </wps:spPr>
                      <wps:txbx>
                        <w:txbxContent>
                          <w:p w14:paraId="65848B32" w14:textId="1B5BBD20" w:rsidR="006D2D54" w:rsidRDefault="00224172" w:rsidP="00FB11EC">
                            <w:pPr>
                              <w:spacing w:line="360" w:lineRule="auto"/>
                            </w:pPr>
                            <w:r>
                              <w:t>Figure 6</w:t>
                            </w:r>
                            <w:r w:rsidR="006D2D54">
                              <w:t>a-c. Eastern Bering Sea</w:t>
                            </w:r>
                            <w:r w:rsidR="006D2D54" w:rsidRPr="00284D94">
                              <w:t xml:space="preserve"> Pacific cod length frequency distributions</w:t>
                            </w:r>
                            <w:r w:rsidR="006D2D54">
                              <w:t xml:space="preserve"> (Percent Total)</w:t>
                            </w:r>
                            <w:r w:rsidR="006D2D54" w:rsidRPr="00284D94">
                              <w:t xml:space="preserve"> for the </w:t>
                            </w:r>
                            <w:r w:rsidR="006D2D54">
                              <w:t xml:space="preserve">bottom-trawl fishery and the NMFS survey for the 2009 to 2018 time period. "All Lengths" include all measured raw lengths, and "Mature" are subsampled length frequencies from "All Lengths" using a 50% maturity estimate for each one cm length (Stark 2007). </w:t>
                            </w:r>
                            <w:r w:rsidR="006D2D54" w:rsidRPr="00284D9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48261" id="_x0000_s1027" type="#_x0000_t202" style="position:absolute;margin-left:276.65pt;margin-top:11.25pt;width:237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hhIQIAACQEAAAOAAAAZHJzL2Uyb0RvYy54bWysU9uO2yAQfa/Uf0C8N3bSZLux4qy22aaq&#10;tL1Iu/0ADDhGBYYCiZ1+fQecpNH2rSoPCJjhMHPOYXU3GE0O0gcFtqbTSUmJtByEsruafn/evrml&#10;JERmBdNgZU2PMtC79etXq95VcgYdaCE9QRAbqt7VtIvRVUUReCcNCxNw0mKwBW9YxK3fFcKzHtGN&#10;LmZleVP04IXzwGUIePowBuk647et5PFr2wYZia4p1hbz7PPcpLlYr1i188x1ip/KYP9QhWHK4qMX&#10;qAcWGdl79ReUUdxDgDZOOJgC2lZxmXvAbqbli26eOuZk7gXJCe5CU/h/sPzL4ZsnSqB2qJRlBjV6&#10;lkMk72Egs0RP70KFWU8O8+KAx5iaWw3uEfiPQCxsOmZ38t576DvJBJY3TTeLq6sjTkggTf8ZBD7D&#10;9hEy0NB6k7hDNgiio0zHizSpFI6Hb8tyuSwxxDE2nZfzm1kWr2DV+brzIX6UYEha1NSj9hmeHR5D&#10;TOWw6pySXgugldgqrfPG75qN9uTA0CfbPHIHL9K0JX1Nl4vZIiNbSPezhYyK6GOtTE1vyzRGZyU6&#10;PliRUyJTelxjJdqe+EmUjOTEoRlGJc60NyCOSJiH0bb4zXDRgf9FSY+WrWn4uWdeUqI/WSR9OZ3P&#10;k8fzZr54hwwRfx1priPMcoSqaaRkXG5i/heZDneP4mxVpi2pOFZyKhmtmNk8fZvk9et9zvrzude/&#10;AQAA//8DAFBLAwQUAAYACAAAACEAyDmNRN4AAAALAQAADwAAAGRycy9kb3ducmV2LnhtbEyPwU7D&#10;MAyG70i8Q2QkbiylpQyVptPExIUDEgMJjlnjNhWJEyVZV96e7ARH//70+3O7WaxhM4Y4ORJwuyqA&#10;IfVOTTQK+Hh/vnkAFpMkJY0jFPCDETbd5UUrG+VO9IbzPo0sl1BspACdkm84j71GK+PKeaS8G1yw&#10;MuUxjFwFecrl1vCyKO65lRPlC1p6fNLYf++PVsCn1ZPahdevQZl59zJsa78EL8T11bJ9BJZwSX8w&#10;nPWzOnTZ6eCOpCIzAuq6qjIqoCxrYGegKNc5OeTkrloD71r+/4fuFwAA//8DAFBLAQItABQABgAI&#10;AAAAIQC2gziS/gAAAOEBAAATAAAAAAAAAAAAAAAAAAAAAABbQ29udGVudF9UeXBlc10ueG1sUEsB&#10;Ai0AFAAGAAgAAAAhADj9If/WAAAAlAEAAAsAAAAAAAAAAAAAAAAALwEAAF9yZWxzLy5yZWxzUEsB&#10;Ai0AFAAGAAgAAAAhAAV0aGEhAgAAJAQAAA4AAAAAAAAAAAAAAAAALgIAAGRycy9lMm9Eb2MueG1s&#10;UEsBAi0AFAAGAAgAAAAhAMg5jUTeAAAACwEAAA8AAAAAAAAAAAAAAAAAewQAAGRycy9kb3ducmV2&#10;LnhtbFBLBQYAAAAABAAEAPMAAACGBQAAAAA=&#10;" stroked="f">
                <v:textbox style="mso-fit-shape-to-text:t">
                  <w:txbxContent>
                    <w:p w14:paraId="65848B32" w14:textId="1B5BBD20" w:rsidR="006D2D54" w:rsidRDefault="00224172" w:rsidP="00FB11EC">
                      <w:pPr>
                        <w:spacing w:line="360" w:lineRule="auto"/>
                      </w:pPr>
                      <w:r>
                        <w:t>Figure 6</w:t>
                      </w:r>
                      <w:r w:rsidR="006D2D54">
                        <w:t>a-c. Eastern Bering Sea</w:t>
                      </w:r>
                      <w:r w:rsidR="006D2D54" w:rsidRPr="00284D94">
                        <w:t xml:space="preserve"> Pacific cod length frequency distributions</w:t>
                      </w:r>
                      <w:r w:rsidR="006D2D54">
                        <w:t xml:space="preserve"> (Percent Total)</w:t>
                      </w:r>
                      <w:r w:rsidR="006D2D54" w:rsidRPr="00284D94">
                        <w:t xml:space="preserve"> for the </w:t>
                      </w:r>
                      <w:r w:rsidR="006D2D54">
                        <w:t xml:space="preserve">bottom-trawl fishery and the NMFS survey for the 2009 to 2018 time period. "All Lengths" include all measured raw lengths, and "Mature" are subsampled length frequencies from "All Lengths" using a 50% maturity estimate for each one cm length (Stark 2007). </w:t>
                      </w:r>
                      <w:r w:rsidR="006D2D54" w:rsidRPr="00284D94">
                        <w:t xml:space="preserve"> </w:t>
                      </w:r>
                    </w:p>
                  </w:txbxContent>
                </v:textbox>
                <w10:wrap type="square"/>
              </v:shape>
            </w:pict>
          </mc:Fallback>
        </mc:AlternateContent>
      </w:r>
      <w:r w:rsidR="00DE00B8">
        <w:tab/>
      </w:r>
    </w:p>
    <w:p w14:paraId="3C2C86FF" w14:textId="6BB384AA" w:rsidR="00DE00B8" w:rsidRDefault="00DE00B8" w:rsidP="00F1734B">
      <w:pPr>
        <w:spacing w:line="360" w:lineRule="auto"/>
      </w:pPr>
    </w:p>
    <w:p w14:paraId="1343B3FD" w14:textId="565418E3" w:rsidR="00DE00B8" w:rsidRDefault="00DE00B8" w:rsidP="00F1734B">
      <w:pPr>
        <w:spacing w:line="360" w:lineRule="auto"/>
      </w:pPr>
    </w:p>
    <w:p w14:paraId="275CB219" w14:textId="19288457" w:rsidR="00DE00B8" w:rsidRDefault="00DE00B8" w:rsidP="00F1734B">
      <w:pPr>
        <w:spacing w:line="360" w:lineRule="auto"/>
      </w:pPr>
    </w:p>
    <w:p w14:paraId="2A2943F9" w14:textId="79CA8B52" w:rsidR="00DE00B8" w:rsidRDefault="00DE00B8" w:rsidP="00F1734B">
      <w:pPr>
        <w:tabs>
          <w:tab w:val="left" w:pos="7500"/>
        </w:tabs>
        <w:spacing w:line="360" w:lineRule="auto"/>
      </w:pPr>
      <w:r>
        <w:tab/>
      </w:r>
    </w:p>
    <w:p w14:paraId="0C216799" w14:textId="0A1E25F4" w:rsidR="00DE00B8" w:rsidRDefault="00DE00B8" w:rsidP="00F1734B">
      <w:pPr>
        <w:spacing w:line="360" w:lineRule="auto"/>
      </w:pPr>
    </w:p>
    <w:p w14:paraId="78901EA3" w14:textId="6375B3AF" w:rsidR="00DE00B8" w:rsidRDefault="00DE00B8" w:rsidP="00F1734B">
      <w:pPr>
        <w:tabs>
          <w:tab w:val="left" w:pos="3915"/>
          <w:tab w:val="left" w:pos="10035"/>
        </w:tabs>
        <w:spacing w:line="360" w:lineRule="auto"/>
      </w:pPr>
      <w:r>
        <w:tab/>
      </w:r>
      <w:r>
        <w:tab/>
      </w:r>
    </w:p>
    <w:p w14:paraId="0F7011A3" w14:textId="77777777" w:rsidR="00091EAA" w:rsidRDefault="00091EAA" w:rsidP="00F1734B">
      <w:pPr>
        <w:spacing w:line="360" w:lineRule="auto"/>
      </w:pPr>
    </w:p>
    <w:p w14:paraId="1F564A88" w14:textId="77777777" w:rsidR="00091EAA" w:rsidRDefault="00091EAA" w:rsidP="00F1734B">
      <w:pPr>
        <w:spacing w:line="360" w:lineRule="auto"/>
      </w:pPr>
    </w:p>
    <w:p w14:paraId="563FB94D" w14:textId="238D863D" w:rsidR="00091EAA" w:rsidRDefault="00091EAA" w:rsidP="00F1734B">
      <w:pPr>
        <w:spacing w:line="360" w:lineRule="auto"/>
      </w:pPr>
    </w:p>
    <w:sectPr w:rsidR="00091EAA" w:rsidSect="00873B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FB1CA" w14:textId="77777777" w:rsidR="00603113" w:rsidRDefault="00603113" w:rsidP="00DE00B8">
      <w:pPr>
        <w:spacing w:after="0" w:line="240" w:lineRule="auto"/>
      </w:pPr>
      <w:r>
        <w:separator/>
      </w:r>
    </w:p>
  </w:endnote>
  <w:endnote w:type="continuationSeparator" w:id="0">
    <w:p w14:paraId="372F4CA1" w14:textId="77777777" w:rsidR="00603113" w:rsidRDefault="00603113" w:rsidP="00DE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DD183" w14:textId="77777777" w:rsidR="00603113" w:rsidRDefault="00603113" w:rsidP="00DE00B8">
      <w:pPr>
        <w:spacing w:after="0" w:line="240" w:lineRule="auto"/>
      </w:pPr>
      <w:r>
        <w:separator/>
      </w:r>
    </w:p>
  </w:footnote>
  <w:footnote w:type="continuationSeparator" w:id="0">
    <w:p w14:paraId="4CE80523" w14:textId="77777777" w:rsidR="00603113" w:rsidRDefault="00603113" w:rsidP="00DE0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7151E"/>
    <w:multiLevelType w:val="hybridMultilevel"/>
    <w:tmpl w:val="C0948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44E2F"/>
    <w:multiLevelType w:val="hybridMultilevel"/>
    <w:tmpl w:val="3654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935CD"/>
    <w:multiLevelType w:val="hybridMultilevel"/>
    <w:tmpl w:val="6930F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FF63EC"/>
    <w:multiLevelType w:val="hybridMultilevel"/>
    <w:tmpl w:val="55E2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4845F5"/>
    <w:multiLevelType w:val="hybridMultilevel"/>
    <w:tmpl w:val="317E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6A4EFE"/>
    <w:multiLevelType w:val="hybridMultilevel"/>
    <w:tmpl w:val="7A04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00"/>
    <w:rsid w:val="00007094"/>
    <w:rsid w:val="00010B1E"/>
    <w:rsid w:val="000128B3"/>
    <w:rsid w:val="00013709"/>
    <w:rsid w:val="00017821"/>
    <w:rsid w:val="0002190C"/>
    <w:rsid w:val="000231AC"/>
    <w:rsid w:val="000249E1"/>
    <w:rsid w:val="00026894"/>
    <w:rsid w:val="000336CE"/>
    <w:rsid w:val="0003700E"/>
    <w:rsid w:val="0003728F"/>
    <w:rsid w:val="00045148"/>
    <w:rsid w:val="00045F58"/>
    <w:rsid w:val="000527CF"/>
    <w:rsid w:val="00052ECC"/>
    <w:rsid w:val="00062BD0"/>
    <w:rsid w:val="000757A4"/>
    <w:rsid w:val="000824AE"/>
    <w:rsid w:val="00091EAA"/>
    <w:rsid w:val="000931D5"/>
    <w:rsid w:val="000A36F6"/>
    <w:rsid w:val="000A5D36"/>
    <w:rsid w:val="000B3CC8"/>
    <w:rsid w:val="000B57E5"/>
    <w:rsid w:val="000D1B38"/>
    <w:rsid w:val="000D71EC"/>
    <w:rsid w:val="000E50A0"/>
    <w:rsid w:val="000E6451"/>
    <w:rsid w:val="000F74F8"/>
    <w:rsid w:val="00110869"/>
    <w:rsid w:val="0011236F"/>
    <w:rsid w:val="001174B5"/>
    <w:rsid w:val="00130640"/>
    <w:rsid w:val="00133795"/>
    <w:rsid w:val="001402F6"/>
    <w:rsid w:val="00146068"/>
    <w:rsid w:val="00150091"/>
    <w:rsid w:val="00153216"/>
    <w:rsid w:val="00156099"/>
    <w:rsid w:val="0016174E"/>
    <w:rsid w:val="001617FD"/>
    <w:rsid w:val="00163308"/>
    <w:rsid w:val="00172E81"/>
    <w:rsid w:val="0017317D"/>
    <w:rsid w:val="00177183"/>
    <w:rsid w:val="00192C33"/>
    <w:rsid w:val="001A359D"/>
    <w:rsid w:val="001B0BFD"/>
    <w:rsid w:val="001B4910"/>
    <w:rsid w:val="001C7431"/>
    <w:rsid w:val="001C77D1"/>
    <w:rsid w:val="001D0802"/>
    <w:rsid w:val="001D3CBA"/>
    <w:rsid w:val="001E03D2"/>
    <w:rsid w:val="001E1A54"/>
    <w:rsid w:val="001E79DE"/>
    <w:rsid w:val="001F1ECF"/>
    <w:rsid w:val="001F44CB"/>
    <w:rsid w:val="001F453C"/>
    <w:rsid w:val="001F4959"/>
    <w:rsid w:val="001F68B2"/>
    <w:rsid w:val="00200605"/>
    <w:rsid w:val="00201672"/>
    <w:rsid w:val="00204817"/>
    <w:rsid w:val="00205FE0"/>
    <w:rsid w:val="00206664"/>
    <w:rsid w:val="00210E31"/>
    <w:rsid w:val="00211DEC"/>
    <w:rsid w:val="0022159C"/>
    <w:rsid w:val="00224172"/>
    <w:rsid w:val="0022550A"/>
    <w:rsid w:val="00230633"/>
    <w:rsid w:val="00240613"/>
    <w:rsid w:val="00240FCB"/>
    <w:rsid w:val="002460D8"/>
    <w:rsid w:val="00251405"/>
    <w:rsid w:val="0025748E"/>
    <w:rsid w:val="0026246B"/>
    <w:rsid w:val="00271E1C"/>
    <w:rsid w:val="00275C38"/>
    <w:rsid w:val="00284D94"/>
    <w:rsid w:val="002A32A4"/>
    <w:rsid w:val="002A705F"/>
    <w:rsid w:val="002B331C"/>
    <w:rsid w:val="002B43D7"/>
    <w:rsid w:val="002B46E5"/>
    <w:rsid w:val="002C0C82"/>
    <w:rsid w:val="002C60F9"/>
    <w:rsid w:val="002C7C5C"/>
    <w:rsid w:val="002D18B1"/>
    <w:rsid w:val="002D23E8"/>
    <w:rsid w:val="002D4564"/>
    <w:rsid w:val="002D7443"/>
    <w:rsid w:val="002E4E26"/>
    <w:rsid w:val="002F38E3"/>
    <w:rsid w:val="002F4060"/>
    <w:rsid w:val="002F62D3"/>
    <w:rsid w:val="002F68F6"/>
    <w:rsid w:val="00301878"/>
    <w:rsid w:val="00301DF3"/>
    <w:rsid w:val="003055F6"/>
    <w:rsid w:val="0030745A"/>
    <w:rsid w:val="00311DC7"/>
    <w:rsid w:val="003174A6"/>
    <w:rsid w:val="00321278"/>
    <w:rsid w:val="003220A8"/>
    <w:rsid w:val="003307F5"/>
    <w:rsid w:val="003338B6"/>
    <w:rsid w:val="003403AE"/>
    <w:rsid w:val="00344A8B"/>
    <w:rsid w:val="00352075"/>
    <w:rsid w:val="0035439D"/>
    <w:rsid w:val="00367A4B"/>
    <w:rsid w:val="00370C23"/>
    <w:rsid w:val="00376123"/>
    <w:rsid w:val="00381C6E"/>
    <w:rsid w:val="00386752"/>
    <w:rsid w:val="00386BDB"/>
    <w:rsid w:val="00387EB8"/>
    <w:rsid w:val="003A4BCE"/>
    <w:rsid w:val="003A6386"/>
    <w:rsid w:val="003B042A"/>
    <w:rsid w:val="003B256A"/>
    <w:rsid w:val="003B50D0"/>
    <w:rsid w:val="003B5381"/>
    <w:rsid w:val="003B7CA3"/>
    <w:rsid w:val="003D0570"/>
    <w:rsid w:val="003D15E7"/>
    <w:rsid w:val="003D715A"/>
    <w:rsid w:val="003E194F"/>
    <w:rsid w:val="003E7A16"/>
    <w:rsid w:val="00404F30"/>
    <w:rsid w:val="004114CD"/>
    <w:rsid w:val="00411B23"/>
    <w:rsid w:val="004155B5"/>
    <w:rsid w:val="00416E5D"/>
    <w:rsid w:val="00422F56"/>
    <w:rsid w:val="00430114"/>
    <w:rsid w:val="0043040F"/>
    <w:rsid w:val="00441D1F"/>
    <w:rsid w:val="0044315D"/>
    <w:rsid w:val="00443E2D"/>
    <w:rsid w:val="004441D9"/>
    <w:rsid w:val="0045206D"/>
    <w:rsid w:val="004536A5"/>
    <w:rsid w:val="00456554"/>
    <w:rsid w:val="00462883"/>
    <w:rsid w:val="00464D4C"/>
    <w:rsid w:val="00470CA1"/>
    <w:rsid w:val="00480041"/>
    <w:rsid w:val="004857D9"/>
    <w:rsid w:val="00485834"/>
    <w:rsid w:val="004869EF"/>
    <w:rsid w:val="004A63E8"/>
    <w:rsid w:val="004B4608"/>
    <w:rsid w:val="004D2D31"/>
    <w:rsid w:val="004D4E37"/>
    <w:rsid w:val="004D7F25"/>
    <w:rsid w:val="004E4A7B"/>
    <w:rsid w:val="0050178E"/>
    <w:rsid w:val="00502EB0"/>
    <w:rsid w:val="0051399B"/>
    <w:rsid w:val="005201F2"/>
    <w:rsid w:val="005246D0"/>
    <w:rsid w:val="005272E3"/>
    <w:rsid w:val="005338EF"/>
    <w:rsid w:val="005365A6"/>
    <w:rsid w:val="005428B6"/>
    <w:rsid w:val="00562C74"/>
    <w:rsid w:val="00580CD2"/>
    <w:rsid w:val="00583AC2"/>
    <w:rsid w:val="00596544"/>
    <w:rsid w:val="00597151"/>
    <w:rsid w:val="005A0E8A"/>
    <w:rsid w:val="005A6059"/>
    <w:rsid w:val="005B2AE4"/>
    <w:rsid w:val="005C0C6C"/>
    <w:rsid w:val="005D4600"/>
    <w:rsid w:val="005E2091"/>
    <w:rsid w:val="005F5A07"/>
    <w:rsid w:val="00603113"/>
    <w:rsid w:val="00606CFE"/>
    <w:rsid w:val="00606F83"/>
    <w:rsid w:val="006170A7"/>
    <w:rsid w:val="006170F0"/>
    <w:rsid w:val="006210D3"/>
    <w:rsid w:val="006277BF"/>
    <w:rsid w:val="0063294C"/>
    <w:rsid w:val="0064342E"/>
    <w:rsid w:val="006442F0"/>
    <w:rsid w:val="00650540"/>
    <w:rsid w:val="00653A1D"/>
    <w:rsid w:val="00654FF4"/>
    <w:rsid w:val="00660918"/>
    <w:rsid w:val="00661B0C"/>
    <w:rsid w:val="00663408"/>
    <w:rsid w:val="00665326"/>
    <w:rsid w:val="00665DB2"/>
    <w:rsid w:val="00667C93"/>
    <w:rsid w:val="00670C75"/>
    <w:rsid w:val="00671BB4"/>
    <w:rsid w:val="006919B8"/>
    <w:rsid w:val="006949C1"/>
    <w:rsid w:val="006A2FE5"/>
    <w:rsid w:val="006B42D6"/>
    <w:rsid w:val="006C286B"/>
    <w:rsid w:val="006C2AD2"/>
    <w:rsid w:val="006C6A73"/>
    <w:rsid w:val="006D2D54"/>
    <w:rsid w:val="006D3DD2"/>
    <w:rsid w:val="006D69FB"/>
    <w:rsid w:val="006E177B"/>
    <w:rsid w:val="006E5D61"/>
    <w:rsid w:val="006F42B7"/>
    <w:rsid w:val="006F6AE5"/>
    <w:rsid w:val="006F7366"/>
    <w:rsid w:val="00701565"/>
    <w:rsid w:val="007256B6"/>
    <w:rsid w:val="00730B99"/>
    <w:rsid w:val="00730D2E"/>
    <w:rsid w:val="00745206"/>
    <w:rsid w:val="0077180F"/>
    <w:rsid w:val="00771DAF"/>
    <w:rsid w:val="0077645C"/>
    <w:rsid w:val="00792481"/>
    <w:rsid w:val="00792A89"/>
    <w:rsid w:val="007949F2"/>
    <w:rsid w:val="007A7A8E"/>
    <w:rsid w:val="007B0F68"/>
    <w:rsid w:val="007B0FCE"/>
    <w:rsid w:val="007B1DF0"/>
    <w:rsid w:val="007D0708"/>
    <w:rsid w:val="007D1D32"/>
    <w:rsid w:val="007D27FC"/>
    <w:rsid w:val="007E1F68"/>
    <w:rsid w:val="007E6696"/>
    <w:rsid w:val="007F4702"/>
    <w:rsid w:val="00804554"/>
    <w:rsid w:val="00806480"/>
    <w:rsid w:val="00810B19"/>
    <w:rsid w:val="00811B26"/>
    <w:rsid w:val="008120AA"/>
    <w:rsid w:val="0081294F"/>
    <w:rsid w:val="00813BA5"/>
    <w:rsid w:val="008145FE"/>
    <w:rsid w:val="0081528F"/>
    <w:rsid w:val="00824E17"/>
    <w:rsid w:val="008250A7"/>
    <w:rsid w:val="00825F73"/>
    <w:rsid w:val="008368E9"/>
    <w:rsid w:val="00837781"/>
    <w:rsid w:val="00840CEF"/>
    <w:rsid w:val="008456ED"/>
    <w:rsid w:val="00847A2F"/>
    <w:rsid w:val="0086379F"/>
    <w:rsid w:val="0087056F"/>
    <w:rsid w:val="00870F49"/>
    <w:rsid w:val="00872C2D"/>
    <w:rsid w:val="00873BF3"/>
    <w:rsid w:val="00885D32"/>
    <w:rsid w:val="00887CBD"/>
    <w:rsid w:val="008945DF"/>
    <w:rsid w:val="008A0BA0"/>
    <w:rsid w:val="008A474A"/>
    <w:rsid w:val="008B3295"/>
    <w:rsid w:val="008C1F2B"/>
    <w:rsid w:val="008C3274"/>
    <w:rsid w:val="008C7F6C"/>
    <w:rsid w:val="008F428C"/>
    <w:rsid w:val="0090182D"/>
    <w:rsid w:val="009050F2"/>
    <w:rsid w:val="0090575F"/>
    <w:rsid w:val="0091064F"/>
    <w:rsid w:val="00922095"/>
    <w:rsid w:val="00931C13"/>
    <w:rsid w:val="00934510"/>
    <w:rsid w:val="00935713"/>
    <w:rsid w:val="00947B73"/>
    <w:rsid w:val="009558F1"/>
    <w:rsid w:val="00956406"/>
    <w:rsid w:val="00956440"/>
    <w:rsid w:val="0097193F"/>
    <w:rsid w:val="00977237"/>
    <w:rsid w:val="009819BE"/>
    <w:rsid w:val="009931E8"/>
    <w:rsid w:val="009A4693"/>
    <w:rsid w:val="009B4702"/>
    <w:rsid w:val="009B7042"/>
    <w:rsid w:val="009C4893"/>
    <w:rsid w:val="009C582B"/>
    <w:rsid w:val="009D5602"/>
    <w:rsid w:val="009E28F0"/>
    <w:rsid w:val="009E627E"/>
    <w:rsid w:val="009F174F"/>
    <w:rsid w:val="009F4FA2"/>
    <w:rsid w:val="00A20B4E"/>
    <w:rsid w:val="00A36F15"/>
    <w:rsid w:val="00A372C0"/>
    <w:rsid w:val="00A5260A"/>
    <w:rsid w:val="00A5330E"/>
    <w:rsid w:val="00A567F2"/>
    <w:rsid w:val="00A71751"/>
    <w:rsid w:val="00A73DD5"/>
    <w:rsid w:val="00A84E20"/>
    <w:rsid w:val="00A87F41"/>
    <w:rsid w:val="00AA069B"/>
    <w:rsid w:val="00AE1D48"/>
    <w:rsid w:val="00AE5825"/>
    <w:rsid w:val="00AE669D"/>
    <w:rsid w:val="00AF0820"/>
    <w:rsid w:val="00AF175A"/>
    <w:rsid w:val="00AF64C1"/>
    <w:rsid w:val="00B17175"/>
    <w:rsid w:val="00B17BC2"/>
    <w:rsid w:val="00B34F0F"/>
    <w:rsid w:val="00B54061"/>
    <w:rsid w:val="00B54E5F"/>
    <w:rsid w:val="00B55FC1"/>
    <w:rsid w:val="00B63DB3"/>
    <w:rsid w:val="00B64591"/>
    <w:rsid w:val="00B64EE9"/>
    <w:rsid w:val="00B653B6"/>
    <w:rsid w:val="00B6554A"/>
    <w:rsid w:val="00B70EA3"/>
    <w:rsid w:val="00B82396"/>
    <w:rsid w:val="00B91A24"/>
    <w:rsid w:val="00B93AD3"/>
    <w:rsid w:val="00BB2ED3"/>
    <w:rsid w:val="00BB7F10"/>
    <w:rsid w:val="00BC0A7F"/>
    <w:rsid w:val="00BC0AFE"/>
    <w:rsid w:val="00BC12D5"/>
    <w:rsid w:val="00BC6763"/>
    <w:rsid w:val="00BD28DE"/>
    <w:rsid w:val="00BD3B8F"/>
    <w:rsid w:val="00BD71CE"/>
    <w:rsid w:val="00BE5A4B"/>
    <w:rsid w:val="00BE6BA1"/>
    <w:rsid w:val="00BF19AF"/>
    <w:rsid w:val="00C04077"/>
    <w:rsid w:val="00C05D71"/>
    <w:rsid w:val="00C05EE0"/>
    <w:rsid w:val="00C0649A"/>
    <w:rsid w:val="00C06BAE"/>
    <w:rsid w:val="00C12692"/>
    <w:rsid w:val="00C17E92"/>
    <w:rsid w:val="00C23781"/>
    <w:rsid w:val="00C3258A"/>
    <w:rsid w:val="00C4470D"/>
    <w:rsid w:val="00C45427"/>
    <w:rsid w:val="00C5630B"/>
    <w:rsid w:val="00C62D1D"/>
    <w:rsid w:val="00C6384D"/>
    <w:rsid w:val="00C73AEA"/>
    <w:rsid w:val="00C74942"/>
    <w:rsid w:val="00C80320"/>
    <w:rsid w:val="00C92F3D"/>
    <w:rsid w:val="00C9363E"/>
    <w:rsid w:val="00C94B6E"/>
    <w:rsid w:val="00CA197A"/>
    <w:rsid w:val="00CA1C98"/>
    <w:rsid w:val="00CA4F2A"/>
    <w:rsid w:val="00CB5110"/>
    <w:rsid w:val="00CB63DF"/>
    <w:rsid w:val="00CD046F"/>
    <w:rsid w:val="00CE1417"/>
    <w:rsid w:val="00CF192A"/>
    <w:rsid w:val="00CF557D"/>
    <w:rsid w:val="00D05D47"/>
    <w:rsid w:val="00D0701E"/>
    <w:rsid w:val="00D16348"/>
    <w:rsid w:val="00D20A5E"/>
    <w:rsid w:val="00D4258A"/>
    <w:rsid w:val="00D4532C"/>
    <w:rsid w:val="00D563AD"/>
    <w:rsid w:val="00D6683D"/>
    <w:rsid w:val="00D700C5"/>
    <w:rsid w:val="00D701B3"/>
    <w:rsid w:val="00D80DA5"/>
    <w:rsid w:val="00DA44D3"/>
    <w:rsid w:val="00DA665A"/>
    <w:rsid w:val="00DB201B"/>
    <w:rsid w:val="00DB33FF"/>
    <w:rsid w:val="00DC08A3"/>
    <w:rsid w:val="00DC4031"/>
    <w:rsid w:val="00DC732F"/>
    <w:rsid w:val="00DD1645"/>
    <w:rsid w:val="00DD2207"/>
    <w:rsid w:val="00DE00B8"/>
    <w:rsid w:val="00DE4AE4"/>
    <w:rsid w:val="00DE7B8C"/>
    <w:rsid w:val="00DF3D02"/>
    <w:rsid w:val="00DF6833"/>
    <w:rsid w:val="00E0070A"/>
    <w:rsid w:val="00E00E6F"/>
    <w:rsid w:val="00E244B9"/>
    <w:rsid w:val="00E32D66"/>
    <w:rsid w:val="00E34A73"/>
    <w:rsid w:val="00E34E3B"/>
    <w:rsid w:val="00E363FE"/>
    <w:rsid w:val="00E3690E"/>
    <w:rsid w:val="00E51F22"/>
    <w:rsid w:val="00E52289"/>
    <w:rsid w:val="00E62DAC"/>
    <w:rsid w:val="00E64489"/>
    <w:rsid w:val="00E73780"/>
    <w:rsid w:val="00E77220"/>
    <w:rsid w:val="00E801FA"/>
    <w:rsid w:val="00E8068B"/>
    <w:rsid w:val="00E80AD1"/>
    <w:rsid w:val="00E80DE7"/>
    <w:rsid w:val="00E81F50"/>
    <w:rsid w:val="00E85E7A"/>
    <w:rsid w:val="00E86675"/>
    <w:rsid w:val="00E93A80"/>
    <w:rsid w:val="00EA63B4"/>
    <w:rsid w:val="00EA692D"/>
    <w:rsid w:val="00EB1759"/>
    <w:rsid w:val="00EB56D8"/>
    <w:rsid w:val="00EC2B29"/>
    <w:rsid w:val="00EC2C46"/>
    <w:rsid w:val="00EC6A6A"/>
    <w:rsid w:val="00EC6F00"/>
    <w:rsid w:val="00ED3C27"/>
    <w:rsid w:val="00EE1076"/>
    <w:rsid w:val="00EE722B"/>
    <w:rsid w:val="00EF404C"/>
    <w:rsid w:val="00EF7EF9"/>
    <w:rsid w:val="00F04EF5"/>
    <w:rsid w:val="00F1111E"/>
    <w:rsid w:val="00F1734B"/>
    <w:rsid w:val="00F26F75"/>
    <w:rsid w:val="00F27BA4"/>
    <w:rsid w:val="00F316BD"/>
    <w:rsid w:val="00F339E3"/>
    <w:rsid w:val="00F372DA"/>
    <w:rsid w:val="00F42FEB"/>
    <w:rsid w:val="00F53C23"/>
    <w:rsid w:val="00F55930"/>
    <w:rsid w:val="00F57D7C"/>
    <w:rsid w:val="00F64198"/>
    <w:rsid w:val="00F66B7B"/>
    <w:rsid w:val="00F70AA9"/>
    <w:rsid w:val="00F807BB"/>
    <w:rsid w:val="00F839FD"/>
    <w:rsid w:val="00F85D69"/>
    <w:rsid w:val="00F87C50"/>
    <w:rsid w:val="00F9188A"/>
    <w:rsid w:val="00FA1A37"/>
    <w:rsid w:val="00FA7403"/>
    <w:rsid w:val="00FB00DF"/>
    <w:rsid w:val="00FB11EC"/>
    <w:rsid w:val="00FB1FE2"/>
    <w:rsid w:val="00FB2709"/>
    <w:rsid w:val="00FB2DB3"/>
    <w:rsid w:val="00FC02B5"/>
    <w:rsid w:val="00FC2601"/>
    <w:rsid w:val="00FD6FDC"/>
    <w:rsid w:val="00FE0623"/>
    <w:rsid w:val="00FE0B80"/>
    <w:rsid w:val="00FE4724"/>
    <w:rsid w:val="00FF1ADE"/>
    <w:rsid w:val="00FF384F"/>
    <w:rsid w:val="00FF6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536B"/>
  <w15:docId w15:val="{C37EC6B3-02DC-4F79-92C6-98A97A6B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1878"/>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01878"/>
    <w:pPr>
      <w:keepNext/>
      <w:keepLines/>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E77220"/>
    <w:pPr>
      <w:keepNext/>
      <w:keepLines/>
      <w:spacing w:before="40" w:after="0"/>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F00"/>
    <w:pPr>
      <w:ind w:left="720"/>
      <w:contextualSpacing/>
    </w:pPr>
  </w:style>
  <w:style w:type="table" w:styleId="TableGrid">
    <w:name w:val="Table Grid"/>
    <w:basedOn w:val="TableNormal"/>
    <w:uiPriority w:val="39"/>
    <w:rsid w:val="00F80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21278"/>
  </w:style>
  <w:style w:type="paragraph" w:styleId="Header">
    <w:name w:val="header"/>
    <w:basedOn w:val="Normal"/>
    <w:link w:val="HeaderChar"/>
    <w:uiPriority w:val="99"/>
    <w:unhideWhenUsed/>
    <w:rsid w:val="00DE0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0B8"/>
  </w:style>
  <w:style w:type="paragraph" w:styleId="Footer">
    <w:name w:val="footer"/>
    <w:basedOn w:val="Normal"/>
    <w:link w:val="FooterChar"/>
    <w:uiPriority w:val="99"/>
    <w:unhideWhenUsed/>
    <w:rsid w:val="00DE0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0B8"/>
  </w:style>
  <w:style w:type="character" w:styleId="CommentReference">
    <w:name w:val="annotation reference"/>
    <w:basedOn w:val="DefaultParagraphFont"/>
    <w:uiPriority w:val="99"/>
    <w:semiHidden/>
    <w:unhideWhenUsed/>
    <w:rsid w:val="00606F83"/>
    <w:rPr>
      <w:sz w:val="16"/>
      <w:szCs w:val="16"/>
    </w:rPr>
  </w:style>
  <w:style w:type="paragraph" w:styleId="CommentText">
    <w:name w:val="annotation text"/>
    <w:basedOn w:val="Normal"/>
    <w:link w:val="CommentTextChar"/>
    <w:uiPriority w:val="99"/>
    <w:semiHidden/>
    <w:unhideWhenUsed/>
    <w:rsid w:val="00606F83"/>
    <w:pPr>
      <w:spacing w:line="240" w:lineRule="auto"/>
    </w:pPr>
    <w:rPr>
      <w:sz w:val="20"/>
      <w:szCs w:val="20"/>
    </w:rPr>
  </w:style>
  <w:style w:type="character" w:customStyle="1" w:styleId="CommentTextChar">
    <w:name w:val="Comment Text Char"/>
    <w:basedOn w:val="DefaultParagraphFont"/>
    <w:link w:val="CommentText"/>
    <w:uiPriority w:val="99"/>
    <w:semiHidden/>
    <w:rsid w:val="00606F83"/>
    <w:rPr>
      <w:sz w:val="20"/>
      <w:szCs w:val="20"/>
    </w:rPr>
  </w:style>
  <w:style w:type="paragraph" w:styleId="CommentSubject">
    <w:name w:val="annotation subject"/>
    <w:basedOn w:val="CommentText"/>
    <w:next w:val="CommentText"/>
    <w:link w:val="CommentSubjectChar"/>
    <w:uiPriority w:val="99"/>
    <w:semiHidden/>
    <w:unhideWhenUsed/>
    <w:rsid w:val="00606F83"/>
    <w:rPr>
      <w:b/>
      <w:bCs/>
    </w:rPr>
  </w:style>
  <w:style w:type="character" w:customStyle="1" w:styleId="CommentSubjectChar">
    <w:name w:val="Comment Subject Char"/>
    <w:basedOn w:val="CommentTextChar"/>
    <w:link w:val="CommentSubject"/>
    <w:uiPriority w:val="99"/>
    <w:semiHidden/>
    <w:rsid w:val="00606F83"/>
    <w:rPr>
      <w:b/>
      <w:bCs/>
      <w:sz w:val="20"/>
      <w:szCs w:val="20"/>
    </w:rPr>
  </w:style>
  <w:style w:type="paragraph" w:styleId="BalloonText">
    <w:name w:val="Balloon Text"/>
    <w:basedOn w:val="Normal"/>
    <w:link w:val="BalloonTextChar"/>
    <w:uiPriority w:val="99"/>
    <w:semiHidden/>
    <w:unhideWhenUsed/>
    <w:rsid w:val="00606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F83"/>
    <w:rPr>
      <w:rFonts w:ascii="Segoe UI" w:hAnsi="Segoe UI" w:cs="Segoe UI"/>
      <w:sz w:val="18"/>
      <w:szCs w:val="18"/>
    </w:rPr>
  </w:style>
  <w:style w:type="paragraph" w:styleId="Revision">
    <w:name w:val="Revision"/>
    <w:hidden/>
    <w:uiPriority w:val="99"/>
    <w:semiHidden/>
    <w:rsid w:val="00091EAA"/>
    <w:pPr>
      <w:spacing w:after="0" w:line="240" w:lineRule="auto"/>
    </w:pPr>
  </w:style>
  <w:style w:type="character" w:customStyle="1" w:styleId="Heading1Char">
    <w:name w:val="Heading 1 Char"/>
    <w:basedOn w:val="DefaultParagraphFont"/>
    <w:link w:val="Heading1"/>
    <w:uiPriority w:val="9"/>
    <w:rsid w:val="00301878"/>
    <w:rPr>
      <w:rFonts w:eastAsiaTheme="majorEastAsia" w:cstheme="majorBidi"/>
      <w:b/>
      <w:szCs w:val="32"/>
    </w:rPr>
  </w:style>
  <w:style w:type="character" w:customStyle="1" w:styleId="Heading2Char">
    <w:name w:val="Heading 2 Char"/>
    <w:basedOn w:val="DefaultParagraphFont"/>
    <w:link w:val="Heading2"/>
    <w:uiPriority w:val="9"/>
    <w:rsid w:val="00301878"/>
    <w:rPr>
      <w:rFonts w:eastAsiaTheme="majorEastAsia" w:cstheme="majorBidi"/>
      <w:i/>
      <w:szCs w:val="26"/>
    </w:rPr>
  </w:style>
  <w:style w:type="character" w:styleId="Hyperlink">
    <w:name w:val="Hyperlink"/>
    <w:basedOn w:val="DefaultParagraphFont"/>
    <w:uiPriority w:val="99"/>
    <w:unhideWhenUsed/>
    <w:rsid w:val="00977237"/>
    <w:rPr>
      <w:color w:val="0563C1" w:themeColor="hyperlink"/>
      <w:u w:val="single"/>
    </w:rPr>
  </w:style>
  <w:style w:type="character" w:styleId="FollowedHyperlink">
    <w:name w:val="FollowedHyperlink"/>
    <w:basedOn w:val="DefaultParagraphFont"/>
    <w:uiPriority w:val="99"/>
    <w:semiHidden/>
    <w:unhideWhenUsed/>
    <w:rsid w:val="004A63E8"/>
    <w:rPr>
      <w:color w:val="954F72" w:themeColor="followedHyperlink"/>
      <w:u w:val="single"/>
    </w:rPr>
  </w:style>
  <w:style w:type="character" w:customStyle="1" w:styleId="Heading3Char">
    <w:name w:val="Heading 3 Char"/>
    <w:basedOn w:val="DefaultParagraphFont"/>
    <w:link w:val="Heading3"/>
    <w:uiPriority w:val="9"/>
    <w:rsid w:val="00E77220"/>
    <w:rPr>
      <w:rFonts w:eastAsiaTheme="majorEastAsia" w:cstheme="majorBidi"/>
      <w:szCs w:val="24"/>
      <w:u w:val="single"/>
    </w:rPr>
  </w:style>
  <w:style w:type="paragraph" w:styleId="NormalWeb">
    <w:name w:val="Normal (Web)"/>
    <w:basedOn w:val="Normal"/>
    <w:uiPriority w:val="99"/>
    <w:unhideWhenUsed/>
    <w:rsid w:val="001B49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7756">
      <w:bodyDiv w:val="1"/>
      <w:marLeft w:val="0"/>
      <w:marRight w:val="0"/>
      <w:marTop w:val="0"/>
      <w:marBottom w:val="0"/>
      <w:divBdr>
        <w:top w:val="none" w:sz="0" w:space="0" w:color="auto"/>
        <w:left w:val="none" w:sz="0" w:space="0" w:color="auto"/>
        <w:bottom w:val="none" w:sz="0" w:space="0" w:color="auto"/>
        <w:right w:val="none" w:sz="0" w:space="0" w:color="auto"/>
      </w:divBdr>
    </w:div>
    <w:div w:id="100498521">
      <w:bodyDiv w:val="1"/>
      <w:marLeft w:val="0"/>
      <w:marRight w:val="0"/>
      <w:marTop w:val="0"/>
      <w:marBottom w:val="0"/>
      <w:divBdr>
        <w:top w:val="none" w:sz="0" w:space="0" w:color="auto"/>
        <w:left w:val="none" w:sz="0" w:space="0" w:color="auto"/>
        <w:bottom w:val="none" w:sz="0" w:space="0" w:color="auto"/>
        <w:right w:val="none" w:sz="0" w:space="0" w:color="auto"/>
      </w:divBdr>
    </w:div>
    <w:div w:id="109134406">
      <w:bodyDiv w:val="1"/>
      <w:marLeft w:val="0"/>
      <w:marRight w:val="0"/>
      <w:marTop w:val="0"/>
      <w:marBottom w:val="0"/>
      <w:divBdr>
        <w:top w:val="none" w:sz="0" w:space="0" w:color="auto"/>
        <w:left w:val="none" w:sz="0" w:space="0" w:color="auto"/>
        <w:bottom w:val="none" w:sz="0" w:space="0" w:color="auto"/>
        <w:right w:val="none" w:sz="0" w:space="0" w:color="auto"/>
      </w:divBdr>
    </w:div>
    <w:div w:id="355232259">
      <w:bodyDiv w:val="1"/>
      <w:marLeft w:val="0"/>
      <w:marRight w:val="0"/>
      <w:marTop w:val="0"/>
      <w:marBottom w:val="0"/>
      <w:divBdr>
        <w:top w:val="none" w:sz="0" w:space="0" w:color="auto"/>
        <w:left w:val="none" w:sz="0" w:space="0" w:color="auto"/>
        <w:bottom w:val="none" w:sz="0" w:space="0" w:color="auto"/>
        <w:right w:val="none" w:sz="0" w:space="0" w:color="auto"/>
      </w:divBdr>
    </w:div>
    <w:div w:id="483425507">
      <w:bodyDiv w:val="1"/>
      <w:marLeft w:val="0"/>
      <w:marRight w:val="0"/>
      <w:marTop w:val="0"/>
      <w:marBottom w:val="0"/>
      <w:divBdr>
        <w:top w:val="none" w:sz="0" w:space="0" w:color="auto"/>
        <w:left w:val="none" w:sz="0" w:space="0" w:color="auto"/>
        <w:bottom w:val="none" w:sz="0" w:space="0" w:color="auto"/>
        <w:right w:val="none" w:sz="0" w:space="0" w:color="auto"/>
      </w:divBdr>
    </w:div>
    <w:div w:id="581723001">
      <w:bodyDiv w:val="1"/>
      <w:marLeft w:val="0"/>
      <w:marRight w:val="0"/>
      <w:marTop w:val="0"/>
      <w:marBottom w:val="0"/>
      <w:divBdr>
        <w:top w:val="none" w:sz="0" w:space="0" w:color="auto"/>
        <w:left w:val="none" w:sz="0" w:space="0" w:color="auto"/>
        <w:bottom w:val="none" w:sz="0" w:space="0" w:color="auto"/>
        <w:right w:val="none" w:sz="0" w:space="0" w:color="auto"/>
      </w:divBdr>
    </w:div>
    <w:div w:id="1387296012">
      <w:bodyDiv w:val="1"/>
      <w:marLeft w:val="0"/>
      <w:marRight w:val="0"/>
      <w:marTop w:val="0"/>
      <w:marBottom w:val="0"/>
      <w:divBdr>
        <w:top w:val="none" w:sz="0" w:space="0" w:color="auto"/>
        <w:left w:val="none" w:sz="0" w:space="0" w:color="auto"/>
        <w:bottom w:val="none" w:sz="0" w:space="0" w:color="auto"/>
        <w:right w:val="none" w:sz="0" w:space="0" w:color="auto"/>
      </w:divBdr>
    </w:div>
    <w:div w:id="201792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s41598-020-73444-y" TargetMode="External"/><Relationship Id="rId13" Type="http://schemas.openxmlformats.org/officeDocument/2006/relationships/hyperlink" Target="https://apps-afsc.fisheries.noaa.gov/REFM/Docs/2018/BSAI/EBSpcod.pdf" TargetMode="Externa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hyperlink" Target="https://doi.org/10.1111/fog.12229" TargetMode="External"/><Relationship Id="rId12" Type="http://schemas.openxmlformats.org/officeDocument/2006/relationships/hyperlink" Target="https://apps-afsc.fisheries.noaa.gov/refm/docs/2020/EBSpcod.pdf" TargetMode="External"/><Relationship Id="rId17" Type="http://schemas.openxmlformats.org/officeDocument/2006/relationships/image" Target="media/image4.tiff"/><Relationship Id="rId25"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300-018-2431-1" TargetMode="External"/><Relationship Id="rId24" Type="http://schemas.openxmlformats.org/officeDocument/2006/relationships/image" Target="media/image11.tiff"/><Relationship Id="rId5"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fontTable" Target="fontTable.xml"/><Relationship Id="rId10" Type="http://schemas.openxmlformats.org/officeDocument/2006/relationships/hyperlink" Target="https://doi.org/10.1111/eva.12874" TargetMode="External"/><Relationship Id="rId19"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hyperlink" Target="https://doi.org/10.1080/19425120.2014.976680" TargetMode="External"/><Relationship Id="rId14" Type="http://schemas.openxmlformats.org/officeDocument/2006/relationships/image" Target="media/image1.tiff"/><Relationship Id="rId22" Type="http://schemas.openxmlformats.org/officeDocument/2006/relationships/image" Target="media/image9.tiff"/><Relationship Id="rId27"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5841</Words>
  <Characters>33300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NOAA Fisheries Service</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kimberly.rand</dc:creator>
  <cp:keywords/>
  <dc:description/>
  <cp:lastModifiedBy>Kimberly Rand</cp:lastModifiedBy>
  <cp:revision>3</cp:revision>
  <dcterms:created xsi:type="dcterms:W3CDTF">2021-04-23T17:47:00Z</dcterms:created>
  <dcterms:modified xsi:type="dcterms:W3CDTF">2021-04-23T17:47:00Z</dcterms:modified>
</cp:coreProperties>
</file>